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9BE7E" w14:textId="77777777" w:rsidR="00E35959" w:rsidRPr="006C2099" w:rsidRDefault="00E35959" w:rsidP="00BA2906">
      <w:pPr>
        <w:rPr>
          <w:rFonts w:ascii="Helvetica" w:hAnsi="Helvetica" w:cstheme="minorHAnsi"/>
          <w:b/>
          <w:sz w:val="20"/>
          <w:szCs w:val="20"/>
        </w:rPr>
      </w:pPr>
    </w:p>
    <w:p w14:paraId="23B31005" w14:textId="4E55D610" w:rsidR="00D74C08" w:rsidRPr="006C2099" w:rsidRDefault="000776E9" w:rsidP="004E2AE3">
      <w:pPr>
        <w:jc w:val="both"/>
        <w:rPr>
          <w:rFonts w:ascii="Helvetica" w:hAnsi="Helvetica" w:cstheme="minorHAnsi"/>
          <w:sz w:val="20"/>
          <w:szCs w:val="20"/>
        </w:rPr>
      </w:pPr>
      <w:r w:rsidRPr="006C2099">
        <w:rPr>
          <w:rFonts w:ascii="Helvetica" w:hAnsi="Helvetica" w:cstheme="minorHAnsi"/>
          <w:b/>
          <w:sz w:val="20"/>
          <w:szCs w:val="20"/>
        </w:rPr>
        <w:t>Title</w:t>
      </w:r>
      <w:r w:rsidRPr="006C2099">
        <w:rPr>
          <w:rFonts w:ascii="Helvetica" w:hAnsi="Helvetica" w:cstheme="minorHAnsi"/>
          <w:sz w:val="20"/>
          <w:szCs w:val="20"/>
        </w:rPr>
        <w:t>:</w:t>
      </w:r>
      <w:r w:rsidR="00B54E0E" w:rsidRPr="006C2099">
        <w:rPr>
          <w:rFonts w:ascii="Helvetica" w:hAnsi="Helvetica" w:cstheme="minorHAnsi"/>
          <w:sz w:val="20"/>
          <w:szCs w:val="20"/>
        </w:rPr>
        <w:t xml:space="preserve"> </w:t>
      </w:r>
      <w:r w:rsidR="008973B6">
        <w:rPr>
          <w:rFonts w:ascii="Helvetica" w:eastAsiaTheme="minorHAnsi" w:hAnsi="Helvetica" w:cs="Helvetica"/>
          <w:szCs w:val="22"/>
        </w:rPr>
        <w:t>NGO platform for the prevention of violent extremism</w:t>
      </w:r>
    </w:p>
    <w:p w14:paraId="7BBBE796" w14:textId="4E01F1E3" w:rsidR="003731DF" w:rsidRPr="006C2099" w:rsidRDefault="00312AC4" w:rsidP="00337A1D">
      <w:pPr>
        <w:rPr>
          <w:rFonts w:ascii="Helvetica" w:hAnsi="Helvetica" w:cstheme="minorHAnsi"/>
          <w:b/>
          <w:sz w:val="20"/>
          <w:szCs w:val="20"/>
        </w:rPr>
      </w:pPr>
      <w:r>
        <w:rPr>
          <w:rFonts w:ascii="Helvetica" w:hAnsi="Helvetica" w:cstheme="minorHAnsi"/>
          <w:b/>
          <w:sz w:val="20"/>
          <w:szCs w:val="20"/>
        </w:rPr>
        <w:t>ATLAS Number</w:t>
      </w:r>
      <w:r w:rsidR="003731DF" w:rsidRPr="006C2099">
        <w:rPr>
          <w:rFonts w:ascii="Helvetica" w:hAnsi="Helvetica" w:cstheme="minorHAnsi"/>
          <w:b/>
          <w:sz w:val="20"/>
          <w:szCs w:val="20"/>
        </w:rPr>
        <w:t>:</w:t>
      </w:r>
      <w:r w:rsidR="008973B6">
        <w:rPr>
          <w:rFonts w:ascii="Helvetica" w:hAnsi="Helvetica" w:cstheme="minorHAnsi"/>
          <w:b/>
          <w:sz w:val="20"/>
          <w:szCs w:val="20"/>
        </w:rPr>
        <w:t xml:space="preserve"> </w:t>
      </w:r>
      <w:r w:rsidR="008973B6" w:rsidRPr="008973B6">
        <w:rPr>
          <w:rFonts w:ascii="Helvetica" w:hAnsi="Helvetica" w:cstheme="minorHAnsi"/>
          <w:sz w:val="20"/>
          <w:szCs w:val="20"/>
          <w:highlight w:val="yellow"/>
        </w:rPr>
        <w:t>xxx</w:t>
      </w:r>
    </w:p>
    <w:p w14:paraId="7BBBE798" w14:textId="464E2E39" w:rsidR="00FA4BF8" w:rsidRPr="006C2099" w:rsidRDefault="00FA4BF8" w:rsidP="00337A1D">
      <w:pPr>
        <w:rPr>
          <w:rFonts w:ascii="Helvetica" w:hAnsi="Helvetica" w:cstheme="minorHAnsi"/>
          <w:sz w:val="20"/>
          <w:szCs w:val="20"/>
        </w:rPr>
      </w:pPr>
      <w:r w:rsidRPr="006C2099">
        <w:rPr>
          <w:rFonts w:ascii="Helvetica" w:hAnsi="Helvetica" w:cstheme="minorHAnsi"/>
          <w:b/>
          <w:sz w:val="20"/>
          <w:szCs w:val="20"/>
        </w:rPr>
        <w:t>Start Date:</w:t>
      </w:r>
      <w:r w:rsidRPr="006C2099">
        <w:rPr>
          <w:rFonts w:ascii="Helvetica" w:hAnsi="Helvetica" w:cstheme="minorHAnsi"/>
          <w:sz w:val="20"/>
          <w:szCs w:val="20"/>
        </w:rPr>
        <w:tab/>
      </w:r>
      <w:r w:rsidR="00E8433E" w:rsidRPr="006C2099">
        <w:rPr>
          <w:rFonts w:ascii="Helvetica" w:hAnsi="Helvetica" w:cstheme="minorHAnsi"/>
          <w:sz w:val="20"/>
          <w:szCs w:val="20"/>
        </w:rPr>
        <w:t xml:space="preserve">1 October 2018 </w:t>
      </w:r>
      <w:r w:rsidRPr="006C2099">
        <w:rPr>
          <w:rFonts w:ascii="Helvetica" w:hAnsi="Helvetica" w:cstheme="minorHAnsi"/>
          <w:sz w:val="20"/>
          <w:szCs w:val="20"/>
        </w:rPr>
        <w:tab/>
      </w:r>
      <w:r w:rsidRPr="006C2099">
        <w:rPr>
          <w:rFonts w:ascii="Helvetica" w:hAnsi="Helvetica" w:cstheme="minorHAnsi"/>
          <w:b/>
          <w:sz w:val="20"/>
          <w:szCs w:val="20"/>
        </w:rPr>
        <w:t>End Date:</w:t>
      </w:r>
      <w:r w:rsidRPr="006C2099">
        <w:rPr>
          <w:rFonts w:ascii="Helvetica" w:hAnsi="Helvetica" w:cstheme="minorHAnsi"/>
          <w:sz w:val="20"/>
          <w:szCs w:val="20"/>
        </w:rPr>
        <w:t xml:space="preserve"> </w:t>
      </w:r>
      <w:r w:rsidR="00E8433E" w:rsidRPr="006C2099">
        <w:rPr>
          <w:rFonts w:ascii="Helvetica" w:hAnsi="Helvetica" w:cstheme="minorHAnsi"/>
          <w:sz w:val="20"/>
          <w:szCs w:val="20"/>
        </w:rPr>
        <w:t>30 September 2019</w:t>
      </w:r>
      <w:r w:rsidRPr="006C2099">
        <w:rPr>
          <w:rFonts w:ascii="Helvetica" w:hAnsi="Helvetica" w:cstheme="minorHAnsi"/>
          <w:sz w:val="20"/>
          <w:szCs w:val="20"/>
        </w:rPr>
        <w:tab/>
      </w:r>
    </w:p>
    <w:p w14:paraId="7BBBE799" w14:textId="77777777" w:rsidR="000776E9" w:rsidRPr="001B57C5" w:rsidRDefault="000776E9" w:rsidP="000776E9">
      <w:pPr>
        <w:spacing w:after="0"/>
        <w:rPr>
          <w:rFonts w:ascii="Helvetica" w:hAnsi="Helvetica" w:cstheme="minorHAnsi"/>
          <w:sz w:val="20"/>
          <w:szCs w:val="20"/>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rsidRPr="001B57C5" w14:paraId="7BBBE79B" w14:textId="77777777" w:rsidTr="00C57A18">
        <w:trPr>
          <w:trHeight w:val="361"/>
        </w:trPr>
        <w:tc>
          <w:tcPr>
            <w:tcW w:w="9740" w:type="dxa"/>
            <w:shd w:val="clear" w:color="auto" w:fill="auto"/>
            <w:vAlign w:val="center"/>
          </w:tcPr>
          <w:p w14:paraId="7BBBE79A" w14:textId="77777777" w:rsidR="000776E9" w:rsidRPr="001B57C5" w:rsidRDefault="000776E9" w:rsidP="00337A1D">
            <w:pPr>
              <w:spacing w:after="0"/>
              <w:jc w:val="center"/>
              <w:rPr>
                <w:rFonts w:ascii="Helvetica" w:hAnsi="Helvetica" w:cstheme="minorHAnsi"/>
                <w:b/>
                <w:sz w:val="20"/>
                <w:szCs w:val="20"/>
              </w:rPr>
            </w:pPr>
            <w:r w:rsidRPr="001B57C5">
              <w:rPr>
                <w:rFonts w:ascii="Helvetica" w:hAnsi="Helvetica" w:cstheme="minorHAnsi"/>
                <w:b/>
                <w:sz w:val="20"/>
                <w:szCs w:val="20"/>
              </w:rPr>
              <w:t>Brief Description</w:t>
            </w:r>
          </w:p>
        </w:tc>
      </w:tr>
      <w:tr w:rsidR="00AD6966" w:rsidRPr="001B57C5" w14:paraId="7BBBE7A3" w14:textId="77777777" w:rsidTr="00F512AF">
        <w:trPr>
          <w:trHeight w:val="5044"/>
        </w:trPr>
        <w:tc>
          <w:tcPr>
            <w:tcW w:w="9740" w:type="dxa"/>
            <w:shd w:val="clear" w:color="auto" w:fill="auto"/>
          </w:tcPr>
          <w:p w14:paraId="2C26DC25" w14:textId="705FC901" w:rsidR="0068598F" w:rsidRPr="001E724E" w:rsidRDefault="0068598F" w:rsidP="0068598F">
            <w:pPr>
              <w:tabs>
                <w:tab w:val="left" w:pos="270"/>
                <w:tab w:val="left" w:pos="9440"/>
              </w:tabs>
              <w:spacing w:before="120"/>
              <w:ind w:right="-10"/>
              <w:jc w:val="both"/>
              <w:rPr>
                <w:rFonts w:asciiTheme="minorHAnsi" w:hAnsiTheme="minorHAnsi"/>
                <w:lang w:eastAsia="ja-JP"/>
              </w:rPr>
            </w:pPr>
            <w:r w:rsidRPr="001E724E">
              <w:rPr>
                <w:rFonts w:asciiTheme="minorHAnsi" w:hAnsiTheme="minorHAnsi"/>
                <w:lang w:eastAsia="ja-JP"/>
              </w:rPr>
              <w:t xml:space="preserve">Since the start of the Syrian refugee crisis, UNDP collaborated on an agreement to establish a Community Cohesion Grant Mechanism focused on Jordanian NGOs and CBOs. The agreement also focused on partnering with civil society and community based organizations to nurture a solid environment for peace and non-violence, especially in localities that suffer from extremism and radicalization.  Building on UNDP’s qualitative and quantitative surveys on pathways and drivers of extremism in Jordan, the project is expected to create a Platform for key NGOs so to become an alliance-building hub and resource </w:t>
            </w:r>
            <w:r w:rsidR="009A6FA6" w:rsidRPr="001E724E">
              <w:rPr>
                <w:rFonts w:asciiTheme="minorHAnsi" w:hAnsiTheme="minorHAnsi"/>
                <w:lang w:eastAsia="ja-JP"/>
              </w:rPr>
              <w:t>centre</w:t>
            </w:r>
            <w:r w:rsidRPr="001E724E">
              <w:rPr>
                <w:rFonts w:asciiTheme="minorHAnsi" w:hAnsiTheme="minorHAnsi"/>
                <w:lang w:eastAsia="ja-JP"/>
              </w:rPr>
              <w:t xml:space="preserve"> for emerging civil society and community-based organizations in the field of preventing and countering violent extremism. The Platform will be an inclusive entity with open membership based on eligibility and impact-based criterion. </w:t>
            </w:r>
          </w:p>
          <w:p w14:paraId="69D849EF" w14:textId="77777777" w:rsidR="0068598F" w:rsidRPr="001E724E" w:rsidRDefault="0068598F" w:rsidP="0068598F">
            <w:pPr>
              <w:tabs>
                <w:tab w:val="left" w:pos="270"/>
                <w:tab w:val="left" w:pos="9440"/>
              </w:tabs>
              <w:spacing w:before="120"/>
              <w:ind w:right="-10"/>
              <w:jc w:val="both"/>
              <w:rPr>
                <w:rFonts w:asciiTheme="minorHAnsi" w:hAnsiTheme="minorHAnsi"/>
                <w:lang w:eastAsia="ja-JP"/>
              </w:rPr>
            </w:pPr>
            <w:r w:rsidRPr="001E724E">
              <w:rPr>
                <w:rFonts w:asciiTheme="minorHAnsi" w:hAnsiTheme="minorHAnsi"/>
                <w:lang w:eastAsia="ja-JP"/>
              </w:rPr>
              <w:t xml:space="preserve">Based on input from a national dialogue town-hall with participation from the NGO community, the NGO Platform will aim at enhancing the development of civil society in Jordan with focus on key localities where dealing with rising radicalization and extremism is vital. The Platform will be a hub to provide capacity development services and an opportunity for organizations to network and coordinate PCVE activities so to maximize impact and to support government initiatives when implementing the National PVE Strategy of Jordan. A strengthened civil society in Jordan would in turn lead to more inclusive participation in democratic processes and foster better relations between civil society actors and the State. </w:t>
            </w:r>
          </w:p>
          <w:p w14:paraId="36C97618" w14:textId="77777777" w:rsidR="00B730D5" w:rsidRPr="00B730D5" w:rsidRDefault="0068598F" w:rsidP="00B730D5">
            <w:pPr>
              <w:shd w:val="clear" w:color="auto" w:fill="EDEDED" w:themeFill="accent3" w:themeFillTint="33"/>
              <w:tabs>
                <w:tab w:val="left" w:pos="270"/>
                <w:tab w:val="left" w:pos="9440"/>
              </w:tabs>
              <w:spacing w:before="120"/>
              <w:ind w:right="-10"/>
              <w:jc w:val="both"/>
              <w:rPr>
                <w:rFonts w:asciiTheme="minorHAnsi" w:hAnsiTheme="minorHAnsi"/>
                <w:lang w:eastAsia="ja-JP"/>
              </w:rPr>
            </w:pPr>
            <w:r w:rsidRPr="00B730D5">
              <w:rPr>
                <w:rFonts w:asciiTheme="minorHAnsi" w:hAnsiTheme="minorHAnsi"/>
                <w:lang w:eastAsia="ja-JP"/>
              </w:rPr>
              <w:t xml:space="preserve">The goal is to establish an NGO Platform as an independent autonomous </w:t>
            </w:r>
            <w:r w:rsidR="00B730D5" w:rsidRPr="00B730D5">
              <w:rPr>
                <w:rFonts w:asciiTheme="minorHAnsi" w:hAnsiTheme="minorHAnsi"/>
                <w:lang w:eastAsia="ja-JP"/>
              </w:rPr>
              <w:t xml:space="preserve">entity with one core objective: </w:t>
            </w:r>
            <w:r w:rsidR="00B730D5" w:rsidRPr="00B730D5">
              <w:rPr>
                <w:rFonts w:asciiTheme="minorHAnsi" w:hAnsiTheme="minorHAnsi"/>
                <w:lang w:eastAsia="ja-JP"/>
              </w:rPr>
              <w:t>Implementing a comprehensive capacity building training plan for civil society, especially CBOs, on core PVE areas and localized PVE interventions</w:t>
            </w:r>
          </w:p>
          <w:p w14:paraId="7291BC44" w14:textId="10FF7AC4" w:rsidR="00796A41" w:rsidRPr="00835A6E" w:rsidRDefault="00796A41" w:rsidP="00B730D5">
            <w:pPr>
              <w:spacing w:line="276" w:lineRule="auto"/>
              <w:jc w:val="both"/>
              <w:rPr>
                <w:rFonts w:ascii="Helvetica" w:hAnsi="Helvetica" w:cstheme="minorHAnsi"/>
                <w:sz w:val="20"/>
                <w:szCs w:val="20"/>
              </w:rPr>
            </w:pPr>
          </w:p>
        </w:tc>
        <w:bookmarkStart w:id="0" w:name="_GoBack"/>
        <w:bookmarkEnd w:id="0"/>
      </w:tr>
    </w:tbl>
    <w:p w14:paraId="270F6344" w14:textId="77777777" w:rsidR="00E14EC5" w:rsidRDefault="00E14EC5" w:rsidP="000776E9">
      <w:pPr>
        <w:rPr>
          <w:rFonts w:ascii="Helvetica" w:hAnsi="Helvetica" w:cstheme="minorHAnsi"/>
          <w:sz w:val="10"/>
          <w:szCs w:val="10"/>
        </w:rPr>
      </w:pPr>
    </w:p>
    <w:tbl>
      <w:tblPr>
        <w:tblStyle w:val="Tabellenraster"/>
        <w:tblW w:w="0" w:type="auto"/>
        <w:tblLook w:val="04A0" w:firstRow="1" w:lastRow="0" w:firstColumn="1" w:lastColumn="0" w:noHBand="0" w:noVBand="1"/>
      </w:tblPr>
      <w:tblGrid>
        <w:gridCol w:w="4750"/>
        <w:gridCol w:w="1614"/>
        <w:gridCol w:w="1618"/>
        <w:gridCol w:w="1610"/>
      </w:tblGrid>
      <w:tr w:rsidR="00871229" w14:paraId="14359C0B" w14:textId="77777777" w:rsidTr="008973B6">
        <w:trPr>
          <w:trHeight w:val="270"/>
        </w:trPr>
        <w:tc>
          <w:tcPr>
            <w:tcW w:w="4750" w:type="dxa"/>
            <w:vMerge w:val="restart"/>
          </w:tcPr>
          <w:p w14:paraId="06203794" w14:textId="207C52F2" w:rsidR="0068598F" w:rsidRDefault="0068598F" w:rsidP="0068598F">
            <w:pPr>
              <w:tabs>
                <w:tab w:val="left" w:pos="270"/>
                <w:tab w:val="left" w:pos="9440"/>
              </w:tabs>
              <w:spacing w:before="120"/>
              <w:ind w:left="90" w:right="-14"/>
              <w:jc w:val="both"/>
              <w:rPr>
                <w:rFonts w:asciiTheme="minorHAnsi" w:hAnsiTheme="minorHAnsi" w:cstheme="majorBidi"/>
                <w:color w:val="000000" w:themeColor="text1"/>
              </w:rPr>
            </w:pPr>
            <w:r w:rsidRPr="00C42720">
              <w:rPr>
                <w:rFonts w:asciiTheme="minorHAnsi" w:hAnsiTheme="minorHAnsi" w:cstheme="majorBidi"/>
                <w:color w:val="000000" w:themeColor="text1"/>
              </w:rPr>
              <w:t xml:space="preserve">Programme Period: </w:t>
            </w:r>
            <w:r>
              <w:rPr>
                <w:rFonts w:asciiTheme="minorHAnsi" w:hAnsiTheme="minorHAnsi" w:cstheme="majorBidi"/>
                <w:color w:val="000000" w:themeColor="text1"/>
              </w:rPr>
              <w:t>1 June 2017 – 31 May 2019</w:t>
            </w:r>
          </w:p>
          <w:p w14:paraId="6AE55989" w14:textId="16103078" w:rsidR="00871229" w:rsidRPr="00E14EC5" w:rsidRDefault="00871229" w:rsidP="000776E9">
            <w:pPr>
              <w:rPr>
                <w:rFonts w:ascii="Helvetica" w:hAnsi="Helvetica" w:cs="Arial"/>
                <w:sz w:val="18"/>
                <w:szCs w:val="18"/>
              </w:rPr>
            </w:pPr>
          </w:p>
        </w:tc>
        <w:tc>
          <w:tcPr>
            <w:tcW w:w="3232" w:type="dxa"/>
            <w:gridSpan w:val="2"/>
            <w:tcBorders>
              <w:bottom w:val="single" w:sz="4" w:space="0" w:color="auto"/>
            </w:tcBorders>
          </w:tcPr>
          <w:p w14:paraId="0EFA0396" w14:textId="7B3C9558" w:rsidR="00871229" w:rsidRPr="0081126A" w:rsidRDefault="00871229" w:rsidP="000776E9">
            <w:pPr>
              <w:rPr>
                <w:rFonts w:ascii="Helvetica" w:hAnsi="Helvetica" w:cstheme="minorHAnsi"/>
                <w:sz w:val="20"/>
                <w:szCs w:val="20"/>
              </w:rPr>
            </w:pPr>
            <w:r w:rsidRPr="0081126A">
              <w:rPr>
                <w:rFonts w:ascii="Helvetica" w:hAnsi="Helvetica" w:cstheme="minorHAnsi"/>
                <w:b/>
                <w:sz w:val="20"/>
                <w:szCs w:val="20"/>
              </w:rPr>
              <w:t>Total resources required:</w:t>
            </w:r>
          </w:p>
        </w:tc>
        <w:tc>
          <w:tcPr>
            <w:tcW w:w="1610" w:type="dxa"/>
            <w:tcBorders>
              <w:bottom w:val="single" w:sz="4" w:space="0" w:color="auto"/>
            </w:tcBorders>
            <w:vAlign w:val="center"/>
          </w:tcPr>
          <w:p w14:paraId="7BA8C25E" w14:textId="3CBE802E" w:rsidR="00871229" w:rsidRPr="0081126A" w:rsidRDefault="00871229" w:rsidP="000776E9">
            <w:pPr>
              <w:rPr>
                <w:rFonts w:ascii="Helvetica" w:hAnsi="Helvetica" w:cstheme="minorHAnsi"/>
                <w:sz w:val="20"/>
                <w:szCs w:val="20"/>
              </w:rPr>
            </w:pPr>
            <w:r w:rsidRPr="0081126A">
              <w:rPr>
                <w:rFonts w:ascii="Helvetica" w:hAnsi="Helvetica" w:cstheme="minorHAnsi"/>
                <w:sz w:val="20"/>
                <w:szCs w:val="20"/>
              </w:rPr>
              <w:t>$</w:t>
            </w:r>
            <w:r w:rsidR="008973B6" w:rsidRPr="008973B6">
              <w:rPr>
                <w:rFonts w:ascii="Helvetica" w:hAnsi="Helvetica" w:cstheme="minorHAnsi"/>
                <w:sz w:val="20"/>
                <w:szCs w:val="20"/>
              </w:rPr>
              <w:t>338.104</w:t>
            </w:r>
          </w:p>
        </w:tc>
      </w:tr>
      <w:tr w:rsidR="008973B6" w14:paraId="47825D25" w14:textId="77777777" w:rsidTr="008973B6">
        <w:trPr>
          <w:trHeight w:val="1100"/>
        </w:trPr>
        <w:tc>
          <w:tcPr>
            <w:tcW w:w="4750" w:type="dxa"/>
            <w:vMerge/>
          </w:tcPr>
          <w:p w14:paraId="1136F730" w14:textId="77777777" w:rsidR="008973B6" w:rsidRPr="002D0CBD" w:rsidRDefault="008973B6" w:rsidP="00E14EC5">
            <w:pPr>
              <w:rPr>
                <w:rFonts w:ascii="Helvetica" w:hAnsi="Helvetica"/>
                <w:sz w:val="18"/>
                <w:szCs w:val="18"/>
              </w:rPr>
            </w:pPr>
          </w:p>
        </w:tc>
        <w:tc>
          <w:tcPr>
            <w:tcW w:w="1614" w:type="dxa"/>
          </w:tcPr>
          <w:p w14:paraId="3DA23F1D" w14:textId="2B1BE4B7" w:rsidR="008973B6" w:rsidRPr="0081126A" w:rsidRDefault="008973B6" w:rsidP="000776E9">
            <w:pPr>
              <w:rPr>
                <w:rFonts w:ascii="Helvetica" w:hAnsi="Helvetica" w:cstheme="minorHAnsi"/>
                <w:sz w:val="20"/>
                <w:szCs w:val="20"/>
              </w:rPr>
            </w:pPr>
            <w:r>
              <w:rPr>
                <w:rFonts w:ascii="Helvetica" w:hAnsi="Helvetica" w:cstheme="minorHAnsi"/>
                <w:sz w:val="20"/>
                <w:szCs w:val="20"/>
              </w:rPr>
              <w:t>Total Reso</w:t>
            </w:r>
            <w:r w:rsidRPr="0081126A">
              <w:rPr>
                <w:rFonts w:ascii="Helvetica" w:hAnsi="Helvetica" w:cstheme="minorHAnsi"/>
                <w:sz w:val="20"/>
                <w:szCs w:val="20"/>
              </w:rPr>
              <w:t>urces Allocated</w:t>
            </w:r>
          </w:p>
        </w:tc>
        <w:tc>
          <w:tcPr>
            <w:tcW w:w="1618" w:type="dxa"/>
            <w:vAlign w:val="center"/>
          </w:tcPr>
          <w:p w14:paraId="2C529D11" w14:textId="103F2F5A" w:rsidR="008973B6" w:rsidRPr="0081126A" w:rsidRDefault="008973B6" w:rsidP="000776E9">
            <w:pPr>
              <w:rPr>
                <w:rFonts w:ascii="Helvetica" w:hAnsi="Helvetica" w:cstheme="minorHAnsi"/>
                <w:sz w:val="20"/>
                <w:szCs w:val="20"/>
              </w:rPr>
            </w:pPr>
            <w:r>
              <w:rPr>
                <w:rFonts w:ascii="Helvetica" w:hAnsi="Helvetica" w:cstheme="minorHAnsi"/>
                <w:b/>
                <w:sz w:val="18"/>
                <w:szCs w:val="18"/>
              </w:rPr>
              <w:t>Netherlands</w:t>
            </w:r>
          </w:p>
        </w:tc>
        <w:tc>
          <w:tcPr>
            <w:tcW w:w="1610" w:type="dxa"/>
            <w:vAlign w:val="center"/>
          </w:tcPr>
          <w:p w14:paraId="04B5A4DD" w14:textId="2BCCE425" w:rsidR="008973B6" w:rsidRPr="0081126A" w:rsidRDefault="008973B6" w:rsidP="000776E9">
            <w:pPr>
              <w:rPr>
                <w:rFonts w:ascii="Helvetica" w:hAnsi="Helvetica" w:cstheme="minorHAnsi"/>
                <w:sz w:val="20"/>
                <w:szCs w:val="20"/>
              </w:rPr>
            </w:pPr>
            <w:r w:rsidRPr="0081126A">
              <w:rPr>
                <w:rFonts w:ascii="Helvetica" w:hAnsi="Helvetica" w:cstheme="minorHAnsi"/>
                <w:sz w:val="20"/>
                <w:szCs w:val="20"/>
              </w:rPr>
              <w:t>$</w:t>
            </w:r>
            <w:r w:rsidRPr="008973B6">
              <w:rPr>
                <w:rFonts w:ascii="Helvetica" w:hAnsi="Helvetica" w:cstheme="minorHAnsi"/>
                <w:sz w:val="20"/>
                <w:szCs w:val="20"/>
              </w:rPr>
              <w:t>338.104</w:t>
            </w:r>
          </w:p>
        </w:tc>
      </w:tr>
      <w:tr w:rsidR="00860E3B" w14:paraId="2BC6B5B2" w14:textId="77777777" w:rsidTr="008973B6">
        <w:trPr>
          <w:trHeight w:val="545"/>
        </w:trPr>
        <w:tc>
          <w:tcPr>
            <w:tcW w:w="4750" w:type="dxa"/>
            <w:vMerge/>
            <w:tcBorders>
              <w:right w:val="single" w:sz="4" w:space="0" w:color="auto"/>
            </w:tcBorders>
          </w:tcPr>
          <w:p w14:paraId="35188F58" w14:textId="77777777" w:rsidR="00860E3B" w:rsidRPr="002D0CBD" w:rsidRDefault="00860E3B" w:rsidP="00E14EC5">
            <w:pPr>
              <w:rPr>
                <w:rFonts w:ascii="Helvetica" w:hAnsi="Helvetica"/>
                <w:sz w:val="18"/>
                <w:szCs w:val="18"/>
              </w:rPr>
            </w:pPr>
          </w:p>
        </w:tc>
        <w:tc>
          <w:tcPr>
            <w:tcW w:w="4842" w:type="dxa"/>
            <w:gridSpan w:val="3"/>
            <w:tcBorders>
              <w:top w:val="single" w:sz="4" w:space="0" w:color="auto"/>
              <w:left w:val="single" w:sz="4" w:space="0" w:color="auto"/>
              <w:bottom w:val="nil"/>
              <w:right w:val="nil"/>
            </w:tcBorders>
          </w:tcPr>
          <w:p w14:paraId="52DE0DDD" w14:textId="5072B01D" w:rsidR="00835A6E" w:rsidRPr="0081126A" w:rsidRDefault="00835A6E" w:rsidP="00835A6E">
            <w:pPr>
              <w:spacing w:after="0"/>
              <w:rPr>
                <w:rFonts w:ascii="Helvetica" w:hAnsi="Helvetica" w:cstheme="minorHAnsi"/>
                <w:sz w:val="20"/>
                <w:szCs w:val="20"/>
              </w:rPr>
            </w:pPr>
          </w:p>
        </w:tc>
      </w:tr>
      <w:tr w:rsidR="00860E3B" w14:paraId="172226F3" w14:textId="77777777" w:rsidTr="008973B6">
        <w:trPr>
          <w:gridAfter w:val="3"/>
          <w:wAfter w:w="4842" w:type="dxa"/>
          <w:trHeight w:val="545"/>
        </w:trPr>
        <w:tc>
          <w:tcPr>
            <w:tcW w:w="4750" w:type="dxa"/>
            <w:vMerge/>
          </w:tcPr>
          <w:p w14:paraId="0135426A" w14:textId="77777777" w:rsidR="00860E3B" w:rsidRPr="002D0CBD" w:rsidRDefault="00860E3B" w:rsidP="00E14EC5">
            <w:pPr>
              <w:rPr>
                <w:rFonts w:ascii="Helvetica" w:hAnsi="Helvetica"/>
                <w:sz w:val="18"/>
                <w:szCs w:val="18"/>
              </w:rPr>
            </w:pPr>
          </w:p>
        </w:tc>
      </w:tr>
      <w:tr w:rsidR="00860E3B" w14:paraId="434E0211" w14:textId="77777777" w:rsidTr="008973B6">
        <w:trPr>
          <w:gridAfter w:val="3"/>
          <w:wAfter w:w="4842" w:type="dxa"/>
          <w:trHeight w:val="545"/>
        </w:trPr>
        <w:tc>
          <w:tcPr>
            <w:tcW w:w="4750" w:type="dxa"/>
            <w:vMerge/>
          </w:tcPr>
          <w:p w14:paraId="577EB53E" w14:textId="77777777" w:rsidR="00860E3B" w:rsidRPr="002D0CBD" w:rsidRDefault="00860E3B" w:rsidP="00E14EC5">
            <w:pPr>
              <w:rPr>
                <w:rFonts w:ascii="Helvetica" w:hAnsi="Helvetica"/>
                <w:sz w:val="18"/>
                <w:szCs w:val="18"/>
              </w:rPr>
            </w:pPr>
          </w:p>
        </w:tc>
      </w:tr>
    </w:tbl>
    <w:p w14:paraId="094E09BE" w14:textId="77777777" w:rsidR="00402E7B" w:rsidRPr="008F641B" w:rsidRDefault="00402E7B">
      <w:pPr>
        <w:rPr>
          <w:rFonts w:ascii="Helvetica" w:hAnsi="Helvetica" w:cstheme="minorHAnsi"/>
          <w:sz w:val="16"/>
          <w:szCs w:val="16"/>
        </w:rPr>
      </w:pPr>
    </w:p>
    <w:p w14:paraId="010534E0" w14:textId="77777777" w:rsidR="00312AC4" w:rsidRDefault="00312AC4">
      <w:pPr>
        <w:rPr>
          <w:rFonts w:ascii="Helvetica" w:hAnsi="Helvetica" w:cstheme="minorHAnsi"/>
          <w:sz w:val="20"/>
          <w:szCs w:val="20"/>
        </w:rPr>
      </w:pPr>
      <w:r>
        <w:rPr>
          <w:rFonts w:ascii="Helvetica" w:hAnsi="Helvetica" w:cstheme="minorHAnsi"/>
          <w:sz w:val="20"/>
          <w:szCs w:val="20"/>
        </w:rPr>
        <w:br w:type="page"/>
      </w:r>
    </w:p>
    <w:p w14:paraId="09DB3F8B" w14:textId="564DC82C" w:rsidR="003D1970" w:rsidRPr="001B57C5" w:rsidRDefault="003D1970" w:rsidP="00AB090F">
      <w:pPr>
        <w:ind w:firstLine="1276"/>
        <w:jc w:val="center"/>
        <w:rPr>
          <w:rFonts w:ascii="Helvetica" w:hAnsi="Helvetica" w:cs="Arial"/>
          <w:b/>
          <w:sz w:val="20"/>
          <w:szCs w:val="20"/>
        </w:rPr>
      </w:pPr>
      <w:r w:rsidRPr="001B57C5">
        <w:rPr>
          <w:rFonts w:ascii="Helvetica" w:hAnsi="Helvetica" w:cs="Arial"/>
          <w:b/>
          <w:noProof/>
          <w:sz w:val="20"/>
          <w:szCs w:val="20"/>
          <w:lang w:eastAsia="en-GB"/>
        </w:rPr>
        <w:lastRenderedPageBreak/>
        <w:drawing>
          <wp:anchor distT="0" distB="0" distL="114300" distR="114300" simplePos="0" relativeHeight="251668992" behindDoc="0" locked="0" layoutInCell="1" allowOverlap="1" wp14:anchorId="5A31B2E6" wp14:editId="3FA8FC12">
            <wp:simplePos x="0" y="0"/>
            <wp:positionH relativeFrom="column">
              <wp:posOffset>5593080</wp:posOffset>
            </wp:positionH>
            <wp:positionV relativeFrom="paragraph">
              <wp:posOffset>0</wp:posOffset>
            </wp:positionV>
            <wp:extent cx="481965" cy="95758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7C5">
        <w:rPr>
          <w:rFonts w:ascii="Helvetica" w:hAnsi="Helvetica" w:cs="Arial"/>
          <w:b/>
          <w:sz w:val="20"/>
          <w:szCs w:val="20"/>
        </w:rPr>
        <w:t>UNITED NATIONS DEVELOPMENT PROGRAMME</w:t>
      </w:r>
    </w:p>
    <w:p w14:paraId="26CEDE66" w14:textId="6936C18C" w:rsidR="003D1970" w:rsidRPr="001B57C5" w:rsidRDefault="003D1970" w:rsidP="00AB090F">
      <w:pPr>
        <w:ind w:firstLine="993"/>
        <w:jc w:val="center"/>
        <w:rPr>
          <w:rFonts w:ascii="Helvetica" w:hAnsi="Helvetica" w:cs="Arial"/>
          <w:b/>
          <w:sz w:val="20"/>
          <w:szCs w:val="20"/>
        </w:rPr>
      </w:pPr>
      <w:r w:rsidRPr="001B57C5">
        <w:rPr>
          <w:rFonts w:ascii="Helvetica" w:hAnsi="Helvetica" w:cs="Arial"/>
          <w:b/>
          <w:sz w:val="20"/>
          <w:szCs w:val="20"/>
        </w:rPr>
        <w:t>JORDAN</w:t>
      </w:r>
    </w:p>
    <w:p w14:paraId="3B2171A4" w14:textId="77777777" w:rsidR="003D1970" w:rsidRPr="001B57C5" w:rsidRDefault="003D1970" w:rsidP="003D1970">
      <w:pPr>
        <w:rPr>
          <w:rFonts w:ascii="Helvetica" w:hAnsi="Helvetica" w:cs="Arial"/>
          <w:color w:val="002060"/>
        </w:rPr>
      </w:pPr>
    </w:p>
    <w:p w14:paraId="1629BC83" w14:textId="77777777" w:rsidR="003D1970" w:rsidRPr="001B57C5" w:rsidRDefault="003D1970" w:rsidP="003D1970">
      <w:pPr>
        <w:pStyle w:val="Kopfzeile"/>
        <w:rPr>
          <w:rFonts w:ascii="Helvetica" w:hAnsi="Helvetica"/>
        </w:rPr>
      </w:pPr>
    </w:p>
    <w:p w14:paraId="57163424" w14:textId="77777777" w:rsidR="003D1970" w:rsidRPr="001B57C5" w:rsidRDefault="003D1970" w:rsidP="00222B6F">
      <w:pPr>
        <w:jc w:val="center"/>
        <w:rPr>
          <w:rFonts w:ascii="Helvetica" w:hAnsi="Helvetica" w:cstheme="minorHAnsi"/>
          <w:b/>
          <w:sz w:val="20"/>
          <w:szCs w:val="20"/>
        </w:rPr>
      </w:pPr>
    </w:p>
    <w:p w14:paraId="3EBA5C47" w14:textId="77777777" w:rsidR="00AB090F" w:rsidRPr="001B57C5" w:rsidRDefault="00AB090F" w:rsidP="00222B6F">
      <w:pPr>
        <w:jc w:val="center"/>
        <w:rPr>
          <w:rFonts w:ascii="Helvetica" w:hAnsi="Helvetica" w:cstheme="minorHAnsi"/>
          <w:b/>
          <w:sz w:val="20"/>
          <w:szCs w:val="20"/>
        </w:rPr>
      </w:pPr>
    </w:p>
    <w:p w14:paraId="69D616C3" w14:textId="77777777" w:rsidR="003E1595" w:rsidRPr="00B700C9" w:rsidRDefault="003E1595" w:rsidP="003E1595">
      <w:pPr>
        <w:pStyle w:val="berschrift1"/>
        <w:numPr>
          <w:ilvl w:val="0"/>
          <w:numId w:val="0"/>
        </w:numPr>
        <w:spacing w:before="120" w:after="0"/>
        <w:ind w:left="720" w:hanging="720"/>
        <w:rPr>
          <w:sz w:val="22"/>
          <w:szCs w:val="22"/>
        </w:rPr>
      </w:pPr>
      <w:r>
        <w:rPr>
          <w:sz w:val="22"/>
          <w:szCs w:val="22"/>
        </w:rPr>
        <w:t xml:space="preserve">Introduction: </w:t>
      </w:r>
    </w:p>
    <w:p w14:paraId="553433F8" w14:textId="77777777" w:rsidR="003E1595" w:rsidRPr="00B252B8" w:rsidRDefault="003E1595" w:rsidP="003E1595">
      <w:pPr>
        <w:tabs>
          <w:tab w:val="left" w:pos="270"/>
          <w:tab w:val="left" w:pos="9440"/>
        </w:tabs>
        <w:spacing w:before="120" w:after="120" w:line="360" w:lineRule="auto"/>
        <w:ind w:right="-10"/>
        <w:jc w:val="both"/>
        <w:rPr>
          <w:rFonts w:asciiTheme="minorHAnsi" w:eastAsia="Calibri" w:hAnsiTheme="minorHAnsi" w:cstheme="minorBidi"/>
          <w:b/>
          <w:bCs/>
          <w:spacing w:val="5"/>
          <w:szCs w:val="22"/>
        </w:rPr>
      </w:pPr>
      <w:r>
        <w:rPr>
          <w:rFonts w:asciiTheme="minorHAnsi" w:eastAsia="Calibri" w:hAnsiTheme="minorHAnsi" w:cstheme="minorBidi"/>
          <w:b/>
          <w:bCs/>
          <w:spacing w:val="5"/>
          <w:szCs w:val="22"/>
        </w:rPr>
        <w:t xml:space="preserve">The Role of </w:t>
      </w:r>
      <w:r w:rsidRPr="00B252B8">
        <w:rPr>
          <w:rFonts w:asciiTheme="minorHAnsi" w:eastAsia="Calibri" w:hAnsiTheme="minorHAnsi" w:cstheme="minorBidi"/>
          <w:b/>
          <w:bCs/>
          <w:spacing w:val="5"/>
          <w:szCs w:val="22"/>
        </w:rPr>
        <w:t xml:space="preserve">Civil Society in </w:t>
      </w:r>
      <w:r>
        <w:rPr>
          <w:rFonts w:asciiTheme="minorHAnsi" w:eastAsia="Calibri" w:hAnsiTheme="minorHAnsi" w:cstheme="minorBidi"/>
          <w:b/>
          <w:bCs/>
          <w:spacing w:val="5"/>
          <w:szCs w:val="22"/>
        </w:rPr>
        <w:t xml:space="preserve">Preventing Violence and Violent Extremism: </w:t>
      </w:r>
    </w:p>
    <w:p w14:paraId="4EBA97F8" w14:textId="77777777" w:rsidR="003E1595" w:rsidRPr="00B700C9" w:rsidRDefault="003E1595" w:rsidP="003E1595">
      <w:pPr>
        <w:spacing w:before="120" w:after="120" w:line="360" w:lineRule="auto"/>
        <w:jc w:val="both"/>
        <w:rPr>
          <w:rFonts w:asciiTheme="minorHAnsi" w:hAnsiTheme="minorHAnsi" w:cstheme="minorBidi"/>
          <w:szCs w:val="22"/>
        </w:rPr>
      </w:pPr>
      <w:r w:rsidRPr="00B700C9">
        <w:rPr>
          <w:rFonts w:asciiTheme="minorHAnsi" w:hAnsiTheme="minorHAnsi" w:cstheme="minorBidi"/>
          <w:szCs w:val="22"/>
        </w:rPr>
        <w:t>Civil society is in many ways uniquely equipped to assist in the prevention of violent extremism. This analysis explains the context in Jordan, including the historical and current challenges faced by organizations at an individual and collective level, which must be considered in the formulation of objectives, goals, and outputs.</w:t>
      </w:r>
    </w:p>
    <w:p w14:paraId="6764EDFE" w14:textId="77777777" w:rsidR="003E1595" w:rsidRDefault="003E1595" w:rsidP="003E1595">
      <w:pPr>
        <w:spacing w:before="120" w:after="120" w:line="360" w:lineRule="auto"/>
        <w:jc w:val="both"/>
        <w:rPr>
          <w:rFonts w:asciiTheme="minorHAnsi" w:hAnsiTheme="minorHAnsi" w:cstheme="minorBidi"/>
          <w:szCs w:val="22"/>
        </w:rPr>
      </w:pPr>
      <w:r w:rsidRPr="00B700C9">
        <w:rPr>
          <w:rFonts w:asciiTheme="minorHAnsi" w:hAnsiTheme="minorHAnsi" w:cstheme="minorBidi"/>
          <w:szCs w:val="22"/>
        </w:rPr>
        <w:t>Based on comparative and desk research, role of civil society organizations in the prevention of violent ext</w:t>
      </w:r>
      <w:r w:rsidRPr="00B252B8">
        <w:rPr>
          <w:rFonts w:asciiTheme="minorHAnsi" w:hAnsiTheme="minorHAnsi" w:cstheme="minorBidi"/>
          <w:szCs w:val="22"/>
        </w:rPr>
        <w:t xml:space="preserve">remism </w:t>
      </w:r>
      <w:r>
        <w:rPr>
          <w:rFonts w:asciiTheme="minorHAnsi" w:hAnsiTheme="minorHAnsi" w:cstheme="minorBidi"/>
          <w:szCs w:val="22"/>
        </w:rPr>
        <w:t>is</w:t>
      </w:r>
      <w:r w:rsidRPr="00B252B8">
        <w:rPr>
          <w:rFonts w:asciiTheme="minorHAnsi" w:hAnsiTheme="minorHAnsi" w:cstheme="minorBidi"/>
          <w:szCs w:val="22"/>
        </w:rPr>
        <w:t xml:space="preserve"> significant.</w:t>
      </w:r>
      <w:r>
        <w:rPr>
          <w:rFonts w:asciiTheme="minorHAnsi" w:hAnsiTheme="minorHAnsi" w:cstheme="minorBidi"/>
          <w:szCs w:val="22"/>
        </w:rPr>
        <w:t xml:space="preserve"> No government could prevent or counter violence nor violent extremism without being inclusive to community and civil initiatives at the national level.</w:t>
      </w:r>
      <w:r w:rsidRPr="00B252B8">
        <w:rPr>
          <w:rFonts w:asciiTheme="minorHAnsi" w:hAnsiTheme="minorHAnsi" w:cstheme="minorBidi"/>
          <w:szCs w:val="22"/>
        </w:rPr>
        <w:t xml:space="preserve"> In Jordan, the United Nations Development Program (UNDP) works with </w:t>
      </w:r>
      <w:r>
        <w:rPr>
          <w:rFonts w:asciiTheme="minorHAnsi" w:hAnsiTheme="minorHAnsi" w:cstheme="minorBidi"/>
          <w:szCs w:val="22"/>
        </w:rPr>
        <w:t xml:space="preserve">over 100 </w:t>
      </w:r>
      <w:r w:rsidRPr="00B252B8">
        <w:rPr>
          <w:rFonts w:asciiTheme="minorHAnsi" w:hAnsiTheme="minorHAnsi" w:cstheme="minorBidi"/>
          <w:szCs w:val="22"/>
        </w:rPr>
        <w:t>non-governmental organizations (NGOs) in 6 governorates on conflict resolution</w:t>
      </w:r>
      <w:r>
        <w:rPr>
          <w:rFonts w:asciiTheme="minorHAnsi" w:hAnsiTheme="minorHAnsi" w:cstheme="minorBidi"/>
          <w:szCs w:val="22"/>
        </w:rPr>
        <w:t>, community cohesion</w:t>
      </w:r>
      <w:r w:rsidRPr="00B252B8">
        <w:rPr>
          <w:rFonts w:asciiTheme="minorHAnsi" w:hAnsiTheme="minorHAnsi" w:cstheme="minorBidi"/>
          <w:szCs w:val="22"/>
        </w:rPr>
        <w:t xml:space="preserve"> and </w:t>
      </w:r>
      <w:r>
        <w:rPr>
          <w:rFonts w:asciiTheme="minorHAnsi" w:hAnsiTheme="minorHAnsi" w:cstheme="minorBidi"/>
          <w:szCs w:val="22"/>
        </w:rPr>
        <w:t>prevention of</w:t>
      </w:r>
      <w:r w:rsidRPr="00B252B8">
        <w:rPr>
          <w:rFonts w:asciiTheme="minorHAnsi" w:hAnsiTheme="minorHAnsi" w:cstheme="minorBidi"/>
          <w:szCs w:val="22"/>
        </w:rPr>
        <w:t xml:space="preserve"> violent extremism (PVE) through a Community </w:t>
      </w:r>
      <w:r>
        <w:rPr>
          <w:rFonts w:asciiTheme="minorHAnsi" w:hAnsiTheme="minorHAnsi" w:cstheme="minorBidi"/>
          <w:szCs w:val="22"/>
        </w:rPr>
        <w:t>Cohesion Grant</w:t>
      </w:r>
      <w:r w:rsidRPr="00B252B8">
        <w:rPr>
          <w:rFonts w:asciiTheme="minorHAnsi" w:hAnsiTheme="minorHAnsi" w:cstheme="minorBidi"/>
          <w:szCs w:val="22"/>
        </w:rPr>
        <w:t xml:space="preserve"> Mechanism structure</w:t>
      </w:r>
      <w:r>
        <w:rPr>
          <w:rFonts w:asciiTheme="minorHAnsi" w:hAnsiTheme="minorHAnsi" w:cstheme="minorBidi"/>
          <w:szCs w:val="22"/>
        </w:rPr>
        <w:t xml:space="preserve"> (CCGM) in which NGOs and CBOs are vetted to receive grants to implement PVE and community security related activities</w:t>
      </w:r>
      <w:r w:rsidRPr="00B252B8">
        <w:rPr>
          <w:rFonts w:asciiTheme="minorHAnsi" w:hAnsiTheme="minorHAnsi" w:cstheme="minorBidi"/>
          <w:szCs w:val="22"/>
        </w:rPr>
        <w:t xml:space="preserve">. </w:t>
      </w:r>
      <w:r>
        <w:rPr>
          <w:rFonts w:asciiTheme="minorHAnsi" w:hAnsiTheme="minorHAnsi" w:cstheme="minorBidi"/>
          <w:szCs w:val="22"/>
        </w:rPr>
        <w:t xml:space="preserve">Throughout the past 6 years, UNDP and other UN agencies scaled up their programming in host community for refugees and other fragile areas so to mostly work through civil society organizations, with specific focus on localities where social and economic tensions are on the rise and started to affect negatively on stability and cohesion. In addition, UNDP started its PVE-related projects early 2014 when radical groups in Middle East and Norther Africa started to engage vulnerable youth living in underprivileged geographies such as Irbid, Salt and Zarqaa. NGOs and CBOs have raised an alerting concern that young fabrics are being subject for recruitment by radical groups and militias fighting in Syria and in Iraq. Since the war started in Syria and before it Iraq, hatred speech, absence of tolerance and acceptance to others, all this made several localities live in societal tension that could escalate to conflict and more family and social violence. Civil society organizations were the first to raise red flags and become the societal early warning system where government, UN agencies and other international actors could enhance their partnerships with. This led UNDP to conduct a conflict analysis in 6 governorates to identify NGOs, CBOs as well as drivers of radicalization, crime and violence. The conflict analysis became the resource document against which UNDP developed a matrix of interventions that needs rapid response and would contribute to lessening violence and extremism in specific localities and districts. Capacities of NGOs and CBOs who expressed interested to programme their activities around the conflict analysis report were limited and primitive given the scarce resources they already suffer from. </w:t>
      </w:r>
    </w:p>
    <w:p w14:paraId="260B0E81" w14:textId="4827D976" w:rsidR="003E1595" w:rsidRPr="00B252B8" w:rsidRDefault="003E1595" w:rsidP="003E1595">
      <w:pPr>
        <w:spacing w:before="120" w:after="120" w:line="360" w:lineRule="auto"/>
        <w:jc w:val="both"/>
        <w:rPr>
          <w:rFonts w:asciiTheme="minorHAnsi" w:hAnsiTheme="minorHAnsi" w:cstheme="minorBidi"/>
          <w:szCs w:val="22"/>
        </w:rPr>
      </w:pPr>
      <w:r>
        <w:rPr>
          <w:rFonts w:asciiTheme="minorHAnsi" w:hAnsiTheme="minorHAnsi" w:cstheme="minorBidi"/>
          <w:szCs w:val="22"/>
        </w:rPr>
        <w:t xml:space="preserve">Throughout the process of developing a National Strategy to Prevent Violent Extremism, UNDP ensured to engage key NGOs and civic research </w:t>
      </w:r>
      <w:r w:rsidR="009A6FA6">
        <w:rPr>
          <w:rFonts w:asciiTheme="minorHAnsi" w:hAnsiTheme="minorHAnsi" w:cstheme="minorBidi"/>
          <w:szCs w:val="22"/>
        </w:rPr>
        <w:t>centres</w:t>
      </w:r>
      <w:r>
        <w:rPr>
          <w:rFonts w:asciiTheme="minorHAnsi" w:hAnsiTheme="minorHAnsi" w:cstheme="minorBidi"/>
          <w:szCs w:val="22"/>
        </w:rPr>
        <w:t xml:space="preserve"> in Jordan into the strategy consultation. Despite the extensive efforts to invite most key players in civil society, limited number of NGOs demonstrated ability and capacity </w:t>
      </w:r>
      <w:r>
        <w:rPr>
          <w:rFonts w:asciiTheme="minorHAnsi" w:hAnsiTheme="minorHAnsi" w:cstheme="minorBidi"/>
          <w:szCs w:val="22"/>
        </w:rPr>
        <w:lastRenderedPageBreak/>
        <w:t xml:space="preserve">to implement activities that need rapid response in areas relate to community security, crime prevention and prevention of violence and violent extremism. All NGOs showed enthusiasm to engage and learn, while understanding to their key role in preventing violent extremism is not unified rather competitive and scattered.     </w:t>
      </w:r>
    </w:p>
    <w:p w14:paraId="11382D8D" w14:textId="77777777" w:rsidR="003E1595" w:rsidRPr="00375A65" w:rsidRDefault="003E1595" w:rsidP="003E1595">
      <w:pPr>
        <w:spacing w:before="120" w:after="120" w:line="360" w:lineRule="auto"/>
        <w:jc w:val="both"/>
        <w:rPr>
          <w:rFonts w:asciiTheme="minorHAnsi" w:hAnsiTheme="minorHAnsi" w:cstheme="minorBidi"/>
          <w:szCs w:val="22"/>
        </w:rPr>
      </w:pPr>
      <w:r>
        <w:rPr>
          <w:rFonts w:asciiTheme="minorHAnsi" w:hAnsiTheme="minorHAnsi" w:cstheme="minorBidi"/>
          <w:szCs w:val="22"/>
        </w:rPr>
        <w:t>Moreover, civil society</w:t>
      </w:r>
      <w:r w:rsidRPr="00375A65">
        <w:rPr>
          <w:rFonts w:asciiTheme="minorHAnsi" w:hAnsiTheme="minorHAnsi" w:cstheme="minorBidi"/>
          <w:szCs w:val="22"/>
        </w:rPr>
        <w:t xml:space="preserve"> can better understand and respond to the needs of the target groups, because they are much closer to the people than a </w:t>
      </w:r>
      <w:r>
        <w:rPr>
          <w:rFonts w:asciiTheme="minorHAnsi" w:hAnsiTheme="minorHAnsi" w:cstheme="minorBidi"/>
          <w:szCs w:val="22"/>
        </w:rPr>
        <w:t>central</w:t>
      </w:r>
      <w:r w:rsidRPr="00375A65">
        <w:rPr>
          <w:rFonts w:asciiTheme="minorHAnsi" w:hAnsiTheme="minorHAnsi" w:cstheme="minorBidi"/>
          <w:szCs w:val="22"/>
        </w:rPr>
        <w:t xml:space="preserve"> government or international organization could be. In this way, they can give a voice to groups that are marginalized and vulnerable. As people tend to distrust their government when they believe that their voices are not heard and their grievances are not resolved, </w:t>
      </w:r>
      <w:r>
        <w:rPr>
          <w:rFonts w:asciiTheme="minorHAnsi" w:hAnsiTheme="minorHAnsi" w:cstheme="minorBidi"/>
          <w:szCs w:val="22"/>
        </w:rPr>
        <w:t>civil society organizations</w:t>
      </w:r>
      <w:r w:rsidRPr="00375A65">
        <w:rPr>
          <w:rFonts w:asciiTheme="minorHAnsi" w:hAnsiTheme="minorHAnsi" w:cstheme="minorBidi"/>
          <w:szCs w:val="22"/>
        </w:rPr>
        <w:t xml:space="preserve"> are in a better position to earn the</w:t>
      </w:r>
      <w:r>
        <w:rPr>
          <w:rFonts w:asciiTheme="minorHAnsi" w:hAnsiTheme="minorHAnsi" w:cstheme="minorBidi"/>
          <w:szCs w:val="22"/>
        </w:rPr>
        <w:t xml:space="preserve"> full trust of the target group, and to reshape the dynamics towards stronger trust between citizens and their government. </w:t>
      </w:r>
      <w:r w:rsidRPr="00375A65">
        <w:rPr>
          <w:rFonts w:asciiTheme="minorHAnsi" w:hAnsiTheme="minorHAnsi" w:cstheme="minorBidi"/>
          <w:szCs w:val="22"/>
        </w:rPr>
        <w:t xml:space="preserve"> </w:t>
      </w:r>
    </w:p>
    <w:p w14:paraId="33384706" w14:textId="77777777" w:rsidR="003E1595" w:rsidRPr="00375A65" w:rsidRDefault="003E1595" w:rsidP="003E1595">
      <w:pPr>
        <w:spacing w:before="120" w:after="120" w:line="360" w:lineRule="auto"/>
        <w:jc w:val="both"/>
        <w:rPr>
          <w:rFonts w:asciiTheme="minorHAnsi" w:hAnsiTheme="minorHAnsi" w:cstheme="minorBidi"/>
          <w:szCs w:val="22"/>
        </w:rPr>
      </w:pPr>
      <w:r w:rsidRPr="00375A65">
        <w:rPr>
          <w:rFonts w:asciiTheme="minorHAnsi" w:hAnsiTheme="minorHAnsi" w:cstheme="minorBidi"/>
          <w:szCs w:val="22"/>
        </w:rPr>
        <w:t>If well organized, CSOs</w:t>
      </w:r>
      <w:r>
        <w:rPr>
          <w:rFonts w:asciiTheme="minorHAnsi" w:hAnsiTheme="minorHAnsi" w:cstheme="minorBidi"/>
          <w:szCs w:val="22"/>
        </w:rPr>
        <w:t xml:space="preserve"> and NGOs</w:t>
      </w:r>
      <w:r w:rsidRPr="00375A65">
        <w:rPr>
          <w:rFonts w:asciiTheme="minorHAnsi" w:hAnsiTheme="minorHAnsi" w:cstheme="minorBidi"/>
          <w:szCs w:val="22"/>
        </w:rPr>
        <w:t xml:space="preserve"> can collectively cover more ground than a single governmental or international organization could, with each CS organization playing to its own strengths and specializations. While the work of each CSO</w:t>
      </w:r>
      <w:r>
        <w:rPr>
          <w:rFonts w:asciiTheme="minorHAnsi" w:hAnsiTheme="minorHAnsi" w:cstheme="minorBidi"/>
          <w:szCs w:val="22"/>
        </w:rPr>
        <w:t>/NGO</w:t>
      </w:r>
      <w:r w:rsidRPr="00375A65">
        <w:rPr>
          <w:rFonts w:asciiTheme="minorHAnsi" w:hAnsiTheme="minorHAnsi" w:cstheme="minorBidi"/>
          <w:szCs w:val="22"/>
        </w:rPr>
        <w:t xml:space="preserve"> is valuable CSOs should be made aware of the potential impact of their programs on PVE.</w:t>
      </w:r>
    </w:p>
    <w:p w14:paraId="110991FD" w14:textId="77777777" w:rsidR="003E1595" w:rsidRPr="00375A65" w:rsidRDefault="003E1595" w:rsidP="003E1595">
      <w:pPr>
        <w:spacing w:before="120" w:after="120" w:line="360" w:lineRule="auto"/>
        <w:jc w:val="both"/>
        <w:rPr>
          <w:rFonts w:asciiTheme="minorHAnsi" w:hAnsiTheme="minorHAnsi" w:cstheme="minorBidi"/>
          <w:szCs w:val="22"/>
        </w:rPr>
      </w:pPr>
      <w:r w:rsidRPr="00375A65">
        <w:rPr>
          <w:rFonts w:asciiTheme="minorHAnsi" w:hAnsiTheme="minorHAnsi" w:cstheme="minorBidi"/>
          <w:szCs w:val="22"/>
        </w:rPr>
        <w:t>The work of civil society is complementary to the work of security and military services as those services are designed to detect and act when persons are already</w:t>
      </w:r>
      <w:r>
        <w:rPr>
          <w:rFonts w:asciiTheme="minorHAnsi" w:hAnsiTheme="minorHAnsi" w:cstheme="minorBidi"/>
          <w:szCs w:val="22"/>
        </w:rPr>
        <w:t xml:space="preserve"> radicalized. Civil society can</w:t>
      </w:r>
      <w:r w:rsidRPr="00375A65">
        <w:rPr>
          <w:rFonts w:asciiTheme="minorHAnsi" w:hAnsiTheme="minorHAnsi" w:cstheme="minorBidi"/>
          <w:szCs w:val="22"/>
        </w:rPr>
        <w:t xml:space="preserve"> monitor and observe individuals at risk of recruitment to violent extremism within their personal and natural environment and could intervene early in this process to enable the individual</w:t>
      </w:r>
      <w:r>
        <w:rPr>
          <w:rFonts w:asciiTheme="minorHAnsi" w:hAnsiTheme="minorHAnsi" w:cstheme="minorBidi"/>
          <w:szCs w:val="22"/>
        </w:rPr>
        <w:t xml:space="preserve"> to resolve disputes peacefully, therefore, civil society is best window to work on prevention at early stages. </w:t>
      </w:r>
    </w:p>
    <w:p w14:paraId="37326476" w14:textId="77777777" w:rsidR="003E1595" w:rsidRPr="0089626F" w:rsidRDefault="003E1595" w:rsidP="003E1595">
      <w:pPr>
        <w:spacing w:before="120" w:after="120" w:line="360" w:lineRule="auto"/>
        <w:jc w:val="both"/>
        <w:rPr>
          <w:rFonts w:asciiTheme="minorHAnsi" w:hAnsiTheme="minorHAnsi" w:cstheme="minorBidi"/>
          <w:szCs w:val="22"/>
        </w:rPr>
      </w:pPr>
      <w:r w:rsidRPr="0089626F">
        <w:rPr>
          <w:rFonts w:asciiTheme="minorHAnsi" w:hAnsiTheme="minorHAnsi" w:cstheme="minorBidi"/>
          <w:szCs w:val="22"/>
        </w:rPr>
        <w:t xml:space="preserve">Intervention by NGOs has the potential to be highly effective, since these organizations do not use detention or </w:t>
      </w:r>
      <w:r>
        <w:rPr>
          <w:rFonts w:asciiTheme="minorHAnsi" w:hAnsiTheme="minorHAnsi" w:cstheme="minorBidi"/>
          <w:szCs w:val="22"/>
        </w:rPr>
        <w:t>enforcement measures</w:t>
      </w:r>
      <w:r w:rsidRPr="0089626F">
        <w:rPr>
          <w:rFonts w:asciiTheme="minorHAnsi" w:hAnsiTheme="minorHAnsi" w:cstheme="minorBidi"/>
          <w:szCs w:val="22"/>
        </w:rPr>
        <w:t>. Individuals at risk of recruitment often experience abuse from institutions holding the monopoly of violence and detention and adopting a repressive legal arsenal, which leads to fear and could make the role of security and military services counter-productive in PVE.</w:t>
      </w:r>
    </w:p>
    <w:p w14:paraId="2344DCA2" w14:textId="77777777" w:rsidR="003E1595" w:rsidRPr="00B252B8" w:rsidRDefault="003E1595" w:rsidP="003E1595">
      <w:pPr>
        <w:shd w:val="clear" w:color="auto" w:fill="EDEDED" w:themeFill="accent3" w:themeFillTint="33"/>
        <w:tabs>
          <w:tab w:val="left" w:pos="270"/>
          <w:tab w:val="left" w:pos="9440"/>
        </w:tabs>
        <w:spacing w:before="120" w:after="120" w:line="360" w:lineRule="auto"/>
        <w:ind w:right="-10"/>
        <w:jc w:val="both"/>
        <w:rPr>
          <w:rFonts w:asciiTheme="minorHAnsi" w:eastAsia="Calibri" w:hAnsiTheme="minorHAnsi" w:cstheme="minorBidi"/>
          <w:b/>
          <w:bCs/>
          <w:spacing w:val="5"/>
          <w:szCs w:val="22"/>
        </w:rPr>
      </w:pPr>
      <w:r w:rsidRPr="00B252B8">
        <w:rPr>
          <w:rFonts w:asciiTheme="minorHAnsi" w:eastAsia="Calibri" w:hAnsiTheme="minorHAnsi" w:cstheme="minorBidi"/>
          <w:b/>
          <w:bCs/>
          <w:spacing w:val="5"/>
          <w:szCs w:val="22"/>
        </w:rPr>
        <w:t>1.2 Context in Jordan</w:t>
      </w:r>
    </w:p>
    <w:p w14:paraId="23D0FD8F" w14:textId="77777777" w:rsidR="003E1595" w:rsidRPr="00B252B8" w:rsidRDefault="003E1595" w:rsidP="003E1595">
      <w:pPr>
        <w:widowControl w:val="0"/>
        <w:overflowPunct w:val="0"/>
        <w:autoSpaceDE w:val="0"/>
        <w:autoSpaceDN w:val="0"/>
        <w:adjustRightInd w:val="0"/>
        <w:spacing w:before="120" w:after="120" w:line="360" w:lineRule="auto"/>
        <w:ind w:right="160"/>
        <w:jc w:val="both"/>
        <w:rPr>
          <w:rFonts w:asciiTheme="minorHAnsi" w:hAnsiTheme="minorHAnsi" w:cstheme="minorBidi"/>
          <w:szCs w:val="22"/>
        </w:rPr>
      </w:pPr>
      <w:r w:rsidRPr="00B252B8">
        <w:rPr>
          <w:rFonts w:asciiTheme="minorHAnsi" w:hAnsiTheme="minorHAnsi" w:cstheme="minorBidi"/>
          <w:szCs w:val="22"/>
        </w:rPr>
        <w:t xml:space="preserve">Based on the Ministry of Social Development’s Societies Registry, the number of registered Community Based Organizations (CBOs) in Jordan has reached 5,338 in January 2017. These CBOs specialize in areas such as education, health, culture, heritage, arts and sports, agriculture, the environment, economic empowerment, democracy and governance, social and professional relations, rights and freedoms, humanitarian assistance, tourism and archaeological sites, religions, support of civil society organizations, and unions. Governing the establishment, organization, and management of these CBOs is Law No. 51 and its amendments, which was adopted in 2008. </w:t>
      </w:r>
    </w:p>
    <w:p w14:paraId="239C0E19" w14:textId="794C3F23" w:rsidR="003E1595" w:rsidRPr="00B252B8" w:rsidRDefault="003E1595" w:rsidP="003E1595">
      <w:pPr>
        <w:widowControl w:val="0"/>
        <w:overflowPunct w:val="0"/>
        <w:autoSpaceDE w:val="0"/>
        <w:autoSpaceDN w:val="0"/>
        <w:adjustRightInd w:val="0"/>
        <w:spacing w:before="120" w:after="120" w:line="360" w:lineRule="auto"/>
        <w:ind w:right="160"/>
        <w:jc w:val="both"/>
        <w:rPr>
          <w:rFonts w:asciiTheme="minorHAnsi" w:hAnsiTheme="minorHAnsi" w:cstheme="minorBidi"/>
          <w:szCs w:val="22"/>
        </w:rPr>
      </w:pPr>
      <w:r w:rsidRPr="00B252B8">
        <w:rPr>
          <w:rFonts w:asciiTheme="minorHAnsi" w:hAnsiTheme="minorHAnsi" w:cstheme="minorBidi"/>
          <w:szCs w:val="22"/>
        </w:rPr>
        <w:t xml:space="preserve">UNDP has, for many years, maintained a strong relationship with the Civil Society in Jordan. Most recently, in 2016, UNDP provided training for </w:t>
      </w:r>
      <w:r>
        <w:rPr>
          <w:rFonts w:asciiTheme="minorHAnsi" w:hAnsiTheme="minorHAnsi" w:cstheme="minorBidi"/>
          <w:szCs w:val="22"/>
        </w:rPr>
        <w:t>70</w:t>
      </w:r>
      <w:r w:rsidRPr="00B252B8">
        <w:rPr>
          <w:rFonts w:asciiTheme="minorHAnsi" w:hAnsiTheme="minorHAnsi" w:cstheme="minorBidi"/>
          <w:szCs w:val="22"/>
        </w:rPr>
        <w:t xml:space="preserve"> CBOs in </w:t>
      </w:r>
      <w:r>
        <w:rPr>
          <w:rFonts w:asciiTheme="minorHAnsi" w:hAnsiTheme="minorHAnsi" w:cstheme="minorBidi"/>
          <w:szCs w:val="22"/>
        </w:rPr>
        <w:t>five</w:t>
      </w:r>
      <w:r w:rsidRPr="00B252B8">
        <w:rPr>
          <w:rFonts w:asciiTheme="minorHAnsi" w:hAnsiTheme="minorHAnsi" w:cstheme="minorBidi"/>
          <w:szCs w:val="22"/>
        </w:rPr>
        <w:t xml:space="preserve"> governo</w:t>
      </w:r>
      <w:r>
        <w:rPr>
          <w:rFonts w:asciiTheme="minorHAnsi" w:hAnsiTheme="minorHAnsi" w:cstheme="minorBidi"/>
          <w:szCs w:val="22"/>
        </w:rPr>
        <w:t>rates: I</w:t>
      </w:r>
      <w:r w:rsidR="009A6FA6">
        <w:rPr>
          <w:rFonts w:asciiTheme="minorHAnsi" w:hAnsiTheme="minorHAnsi" w:cstheme="minorBidi"/>
          <w:szCs w:val="22"/>
        </w:rPr>
        <w:t xml:space="preserve">rbid, Zarqa, and Mafraq, </w:t>
      </w:r>
      <w:r>
        <w:rPr>
          <w:rFonts w:asciiTheme="minorHAnsi" w:hAnsiTheme="minorHAnsi" w:cstheme="minorBidi"/>
          <w:szCs w:val="22"/>
        </w:rPr>
        <w:t>and Tafeeleh.</w:t>
      </w:r>
      <w:r w:rsidRPr="00B252B8">
        <w:rPr>
          <w:rFonts w:asciiTheme="minorHAnsi" w:hAnsiTheme="minorHAnsi" w:cstheme="minorBidi"/>
          <w:szCs w:val="22"/>
        </w:rPr>
        <w:t xml:space="preserve"> In all, </w:t>
      </w:r>
      <w:r>
        <w:rPr>
          <w:rFonts w:asciiTheme="minorHAnsi" w:hAnsiTheme="minorHAnsi" w:cstheme="minorBidi"/>
          <w:szCs w:val="22"/>
        </w:rPr>
        <w:t>250</w:t>
      </w:r>
      <w:r w:rsidRPr="00B252B8">
        <w:rPr>
          <w:rFonts w:asciiTheme="minorHAnsi" w:hAnsiTheme="minorHAnsi" w:cstheme="minorBidi"/>
          <w:szCs w:val="22"/>
        </w:rPr>
        <w:t xml:space="preserve"> staff members were trained over the course of 18 days. The training programs addressed major </w:t>
      </w:r>
      <w:r w:rsidRPr="00B252B8">
        <w:rPr>
          <w:rFonts w:asciiTheme="minorHAnsi" w:hAnsiTheme="minorHAnsi" w:cstheme="minorBidi"/>
          <w:szCs w:val="22"/>
        </w:rPr>
        <w:lastRenderedPageBreak/>
        <w:t>problems faced by CSOs, including the fact that most staff members seek supplementary employment due to the low financial capacity of their CBO, and the lack of a sustainable platform for CBO-driven collaboration. These problems, among others, limit the impact CSOs can have in preventing violent extremism.</w:t>
      </w:r>
    </w:p>
    <w:p w14:paraId="34D5A2EF" w14:textId="77777777" w:rsidR="003E1595" w:rsidRPr="00B252B8" w:rsidRDefault="003E1595" w:rsidP="003E1595">
      <w:pPr>
        <w:widowControl w:val="0"/>
        <w:overflowPunct w:val="0"/>
        <w:autoSpaceDE w:val="0"/>
        <w:autoSpaceDN w:val="0"/>
        <w:adjustRightInd w:val="0"/>
        <w:spacing w:before="120" w:after="120" w:line="360" w:lineRule="auto"/>
        <w:ind w:right="160"/>
        <w:jc w:val="both"/>
        <w:rPr>
          <w:rFonts w:asciiTheme="minorHAnsi" w:hAnsiTheme="minorHAnsi" w:cstheme="minorBidi"/>
          <w:szCs w:val="22"/>
        </w:rPr>
      </w:pPr>
      <w:r w:rsidRPr="00B252B8">
        <w:rPr>
          <w:rFonts w:asciiTheme="minorHAnsi" w:hAnsiTheme="minorHAnsi" w:cstheme="minorBidi"/>
          <w:szCs w:val="22"/>
        </w:rPr>
        <w:t xml:space="preserve">Civil society organizations (CSOs) in Jordan enjoy relative success on an individual level. However, the inefficient partnerships between one another and the government, a lack of </w:t>
      </w:r>
      <w:r>
        <w:rPr>
          <w:rFonts w:asciiTheme="minorHAnsi" w:hAnsiTheme="minorHAnsi" w:cstheme="minorBidi"/>
          <w:szCs w:val="22"/>
        </w:rPr>
        <w:t xml:space="preserve">full </w:t>
      </w:r>
      <w:r w:rsidRPr="00B252B8">
        <w:rPr>
          <w:rFonts w:asciiTheme="minorHAnsi" w:hAnsiTheme="minorHAnsi" w:cstheme="minorBidi"/>
          <w:szCs w:val="22"/>
        </w:rPr>
        <w:t xml:space="preserve">confidence from international organizations, and an inability to reach vulnerable populations outside of greater Amman, among other weaknesses, prevent civil society from reaching its potential as a key player in the collective effort to prevent violent extremism in Jordan. </w:t>
      </w:r>
    </w:p>
    <w:p w14:paraId="02D87A1A" w14:textId="77777777" w:rsidR="003E1595" w:rsidRPr="00B252B8" w:rsidRDefault="003E1595" w:rsidP="003E1595">
      <w:pPr>
        <w:widowControl w:val="0"/>
        <w:overflowPunct w:val="0"/>
        <w:autoSpaceDE w:val="0"/>
        <w:autoSpaceDN w:val="0"/>
        <w:adjustRightInd w:val="0"/>
        <w:spacing w:before="120" w:after="120" w:line="360" w:lineRule="auto"/>
        <w:ind w:right="160"/>
        <w:jc w:val="both"/>
        <w:rPr>
          <w:rFonts w:asciiTheme="minorHAnsi" w:hAnsiTheme="minorHAnsi" w:cstheme="minorBidi"/>
          <w:szCs w:val="22"/>
        </w:rPr>
      </w:pPr>
      <w:r w:rsidRPr="00B252B8">
        <w:rPr>
          <w:rFonts w:asciiTheme="minorHAnsi" w:hAnsiTheme="minorHAnsi" w:cstheme="minorBidi"/>
          <w:szCs w:val="22"/>
        </w:rPr>
        <w:t>In a study conducted by the University of Jordan’s Center for Strategic Studies, 18 out of 19 CSOs indicated some degree of cooperation between one another.</w:t>
      </w:r>
      <w:r w:rsidRPr="00B252B8">
        <w:rPr>
          <w:rStyle w:val="Funotenzeichen"/>
          <w:rFonts w:asciiTheme="minorHAnsi" w:hAnsiTheme="minorHAnsi" w:cstheme="minorBidi"/>
          <w:color w:val="000000"/>
          <w:szCs w:val="22"/>
        </w:rPr>
        <w:t xml:space="preserve"> </w:t>
      </w:r>
      <w:r w:rsidRPr="00B252B8">
        <w:rPr>
          <w:rStyle w:val="Funotenzeichen"/>
          <w:rFonts w:asciiTheme="minorHAnsi" w:hAnsiTheme="minorHAnsi" w:cstheme="minorBidi"/>
          <w:color w:val="000000"/>
          <w:szCs w:val="22"/>
        </w:rPr>
        <w:footnoteReference w:id="1"/>
      </w:r>
      <w:r w:rsidRPr="00B252B8">
        <w:rPr>
          <w:rFonts w:asciiTheme="minorHAnsi" w:hAnsiTheme="minorHAnsi" w:cstheme="minorBidi"/>
          <w:szCs w:val="22"/>
        </w:rPr>
        <w:t xml:space="preserve"> However, qualitative reports from the same study indicated that the cooperation is feeble, and that this internal disorganization limits the power of the CSO community to put pressure on the government or international organizations. Between CSOs and the government, the relationship is weaker still. Anecdotal evidence suggests that certain CSOs are taken under the wing of the government, while many more are unable to develop any relationship at all. Finally, some of the consistently strong relationships may be between CSOs and donors. Per </w:t>
      </w:r>
      <w:r>
        <w:rPr>
          <w:rFonts w:asciiTheme="minorHAnsi" w:hAnsiTheme="minorHAnsi" w:cstheme="minorBidi"/>
          <w:szCs w:val="22"/>
        </w:rPr>
        <w:t>the same</w:t>
      </w:r>
      <w:r w:rsidRPr="00B252B8">
        <w:rPr>
          <w:rFonts w:asciiTheme="minorHAnsi" w:hAnsiTheme="minorHAnsi" w:cstheme="minorBidi"/>
          <w:szCs w:val="22"/>
        </w:rPr>
        <w:t xml:space="preserve"> research, most CSOs reported receiving over 75% of their funding from donors, and nearly half of CSOs interviewed stated that they did not have any problems working with their donors. Others, however, indicated donor’s excessive interference in their programming, or a difference in priorities. </w:t>
      </w:r>
    </w:p>
    <w:p w14:paraId="45D0F1AA" w14:textId="77777777" w:rsidR="003E1595" w:rsidRPr="00B252B8" w:rsidRDefault="003E1595" w:rsidP="003E1595">
      <w:pPr>
        <w:widowControl w:val="0"/>
        <w:overflowPunct w:val="0"/>
        <w:autoSpaceDE w:val="0"/>
        <w:autoSpaceDN w:val="0"/>
        <w:adjustRightInd w:val="0"/>
        <w:spacing w:before="120" w:after="120" w:line="360" w:lineRule="auto"/>
        <w:ind w:right="160"/>
        <w:jc w:val="both"/>
        <w:rPr>
          <w:rFonts w:asciiTheme="minorHAnsi" w:hAnsiTheme="minorHAnsi" w:cstheme="minorBidi"/>
          <w:szCs w:val="22"/>
        </w:rPr>
      </w:pPr>
      <w:r w:rsidRPr="00B252B8">
        <w:rPr>
          <w:rFonts w:asciiTheme="minorHAnsi" w:hAnsiTheme="minorHAnsi" w:cstheme="minorBidi"/>
          <w:szCs w:val="22"/>
        </w:rPr>
        <w:t>Many international actors assume that local CSOs are not equipped to handle significant development projects, and that the programming they conduct is ineffective. Per AARD-Legal Aid, less than two percent of funding for humanitarian and development aid is given directly to local CSOs.</w:t>
      </w:r>
      <w:r w:rsidRPr="00B252B8">
        <w:rPr>
          <w:rStyle w:val="Funotenzeichen"/>
          <w:rFonts w:asciiTheme="minorHAnsi" w:hAnsiTheme="minorHAnsi" w:cstheme="minorBidi"/>
          <w:color w:val="000000"/>
          <w:szCs w:val="22"/>
        </w:rPr>
        <w:t xml:space="preserve"> </w:t>
      </w:r>
      <w:r w:rsidRPr="00B252B8">
        <w:rPr>
          <w:rStyle w:val="Funotenzeichen"/>
          <w:rFonts w:asciiTheme="minorHAnsi" w:hAnsiTheme="minorHAnsi" w:cstheme="minorBidi"/>
          <w:color w:val="000000"/>
          <w:szCs w:val="22"/>
        </w:rPr>
        <w:footnoteReference w:id="2"/>
      </w:r>
      <w:r w:rsidRPr="00B252B8">
        <w:rPr>
          <w:rFonts w:asciiTheme="minorHAnsi" w:hAnsiTheme="minorHAnsi" w:cstheme="minorBidi"/>
          <w:szCs w:val="22"/>
        </w:rPr>
        <w:t xml:space="preserve">  This funding deficiency demonstrates a lack of trust for local CSOs, despite the common knowledge that local actors may be in a better position than international actors to determine the needs of a community and to meet these needs in the most culturally and socially sensitive way possible.</w:t>
      </w:r>
    </w:p>
    <w:p w14:paraId="7BD3E5C4" w14:textId="77777777" w:rsidR="003E1595" w:rsidRPr="00B252B8" w:rsidRDefault="003E1595" w:rsidP="003E1595">
      <w:pPr>
        <w:widowControl w:val="0"/>
        <w:overflowPunct w:val="0"/>
        <w:autoSpaceDE w:val="0"/>
        <w:autoSpaceDN w:val="0"/>
        <w:adjustRightInd w:val="0"/>
        <w:spacing w:before="120" w:after="120" w:line="360" w:lineRule="auto"/>
        <w:ind w:right="160"/>
        <w:jc w:val="both"/>
        <w:rPr>
          <w:rFonts w:asciiTheme="minorHAnsi" w:hAnsiTheme="minorHAnsi" w:cstheme="minorBidi"/>
          <w:szCs w:val="22"/>
        </w:rPr>
      </w:pPr>
      <w:r w:rsidRPr="00B252B8">
        <w:rPr>
          <w:rFonts w:asciiTheme="minorHAnsi" w:hAnsiTheme="minorHAnsi" w:cstheme="minorBidi"/>
          <w:szCs w:val="22"/>
        </w:rPr>
        <w:t xml:space="preserve">The weaknesses of civil society described above are often a result of the social, political, and cultural context in Jordan, where conservatism causes a significant number of CSOs to lack political independence. Many are also subject to interference from the state and suffer from a lack of rotation in leadership positions in addition to a lack of contest in electing administrative boards. Furthermore, the existence of several national umbrellas and sectorial networks between CSOs does not translate into coordination and </w:t>
      </w:r>
      <w:r w:rsidRPr="00B252B8">
        <w:rPr>
          <w:rFonts w:asciiTheme="minorHAnsi" w:hAnsiTheme="minorHAnsi" w:cstheme="minorBidi"/>
          <w:szCs w:val="22"/>
        </w:rPr>
        <w:lastRenderedPageBreak/>
        <w:t>efficacy, weakening their chances of mobilizing resources and distributing them equitably among different organizations. This lack of a clear, defined, and comprehensive strategy cripples their collective capability to hold a dialogue with the state, the private sector, and foreign donors, and weakens their ability to define their priorities. Moreover, most CSOs also suffer from lack of financial transparency, which leads to lack of social trust and limits their ability to combat corruption. Finally, significant circles of society believe that the civil society is mostly active in elite circles and does not reach broader masses. Popular opinion also tends to hold that CSO activities are limited to major cities and do not include rural or remote areas.</w:t>
      </w:r>
    </w:p>
    <w:p w14:paraId="0B228D56" w14:textId="77777777" w:rsidR="003E1595" w:rsidRDefault="003E1595" w:rsidP="003E1595">
      <w:pPr>
        <w:widowControl w:val="0"/>
        <w:overflowPunct w:val="0"/>
        <w:autoSpaceDE w:val="0"/>
        <w:autoSpaceDN w:val="0"/>
        <w:adjustRightInd w:val="0"/>
        <w:spacing w:before="120" w:after="120" w:line="360" w:lineRule="auto"/>
        <w:ind w:right="160"/>
        <w:jc w:val="both"/>
        <w:rPr>
          <w:rFonts w:asciiTheme="minorHAnsi" w:hAnsiTheme="minorHAnsi" w:cstheme="minorBidi"/>
          <w:szCs w:val="22"/>
        </w:rPr>
      </w:pPr>
      <w:r w:rsidRPr="00B252B8">
        <w:rPr>
          <w:rFonts w:asciiTheme="minorHAnsi" w:hAnsiTheme="minorHAnsi" w:cstheme="minorBidi"/>
          <w:szCs w:val="22"/>
        </w:rPr>
        <w:t>Considering UNDP’s interaction with CSOs</w:t>
      </w:r>
      <w:r>
        <w:rPr>
          <w:rFonts w:asciiTheme="minorHAnsi" w:hAnsiTheme="minorHAnsi" w:cstheme="minorBidi"/>
          <w:szCs w:val="22"/>
        </w:rPr>
        <w:t>/NGOs</w:t>
      </w:r>
      <w:r w:rsidRPr="00B252B8">
        <w:rPr>
          <w:rFonts w:asciiTheme="minorHAnsi" w:hAnsiTheme="minorHAnsi" w:cstheme="minorBidi"/>
          <w:szCs w:val="22"/>
        </w:rPr>
        <w:t xml:space="preserve"> and the research mentioned above, solutions should concentrate on dimensions such as: enhancing the governance, transparency, and democracy of </w:t>
      </w:r>
      <w:r>
        <w:rPr>
          <w:rFonts w:asciiTheme="minorHAnsi" w:hAnsiTheme="minorHAnsi" w:cstheme="minorBidi"/>
          <w:szCs w:val="22"/>
        </w:rPr>
        <w:t>civil society organizations</w:t>
      </w:r>
      <w:r w:rsidRPr="00B252B8">
        <w:rPr>
          <w:rFonts w:asciiTheme="minorHAnsi" w:hAnsiTheme="minorHAnsi" w:cstheme="minorBidi"/>
          <w:szCs w:val="22"/>
        </w:rPr>
        <w:t xml:space="preserve">; supporting governmental efforts in political reform; and motivating the private sector to support </w:t>
      </w:r>
      <w:r>
        <w:rPr>
          <w:rFonts w:asciiTheme="minorHAnsi" w:hAnsiTheme="minorHAnsi" w:cstheme="minorBidi"/>
          <w:szCs w:val="22"/>
        </w:rPr>
        <w:t>civil society</w:t>
      </w:r>
      <w:r w:rsidRPr="00B252B8">
        <w:rPr>
          <w:rFonts w:asciiTheme="minorHAnsi" w:hAnsiTheme="minorHAnsi" w:cstheme="minorBidi"/>
          <w:szCs w:val="22"/>
        </w:rPr>
        <w:t xml:space="preserve"> by playing its role in Corporate Social Responsibility (CSR), mainly in the marginalized geographical areas. These efforts can be used to monitor the drivers of radicalization leading to violent extremism.</w:t>
      </w:r>
    </w:p>
    <w:p w14:paraId="4794DCE8" w14:textId="77777777" w:rsidR="003E1595" w:rsidRPr="00B252B8" w:rsidRDefault="003E1595" w:rsidP="003E1595">
      <w:pPr>
        <w:widowControl w:val="0"/>
        <w:overflowPunct w:val="0"/>
        <w:autoSpaceDE w:val="0"/>
        <w:autoSpaceDN w:val="0"/>
        <w:adjustRightInd w:val="0"/>
        <w:spacing w:before="120" w:after="120" w:line="360" w:lineRule="auto"/>
        <w:ind w:right="160"/>
        <w:jc w:val="both"/>
        <w:rPr>
          <w:rFonts w:asciiTheme="minorHAnsi" w:hAnsiTheme="minorHAnsi" w:cstheme="minorBidi"/>
          <w:szCs w:val="22"/>
        </w:rPr>
      </w:pPr>
      <w:r w:rsidRPr="00D173F3">
        <w:rPr>
          <w:rFonts w:asciiTheme="minorHAnsi" w:hAnsiTheme="minorHAnsi" w:cstheme="minorBidi"/>
          <w:szCs w:val="22"/>
        </w:rPr>
        <w:t>The PVE National Strategy</w:t>
      </w:r>
      <w:r>
        <w:rPr>
          <w:rFonts w:asciiTheme="minorHAnsi" w:hAnsiTheme="minorHAnsi" w:cstheme="minorBidi"/>
          <w:szCs w:val="22"/>
        </w:rPr>
        <w:t xml:space="preserve"> stressed on the issue of effective partnership towards a healthy and impactful implementation. Partnership between government line ministries and relevant NGOs is a must throughout the stages of the strategy implementation, including </w:t>
      </w:r>
      <w:r w:rsidRPr="00D173F3">
        <w:rPr>
          <w:rFonts w:asciiTheme="minorHAnsi" w:hAnsiTheme="minorHAnsi" w:cstheme="minorBidi"/>
          <w:szCs w:val="22"/>
        </w:rPr>
        <w:t>central government line ministries, municipalities</w:t>
      </w:r>
      <w:r>
        <w:rPr>
          <w:rFonts w:asciiTheme="minorHAnsi" w:hAnsiTheme="minorHAnsi" w:cstheme="minorBidi"/>
          <w:szCs w:val="22"/>
        </w:rPr>
        <w:t xml:space="preserve"> and local development units</w:t>
      </w:r>
      <w:r w:rsidRPr="00D173F3">
        <w:rPr>
          <w:rFonts w:asciiTheme="minorHAnsi" w:hAnsiTheme="minorHAnsi" w:cstheme="minorBidi"/>
          <w:szCs w:val="22"/>
        </w:rPr>
        <w:t xml:space="preserve">, </w:t>
      </w:r>
      <w:r>
        <w:rPr>
          <w:rFonts w:asciiTheme="minorHAnsi" w:hAnsiTheme="minorHAnsi" w:cstheme="minorBidi"/>
          <w:szCs w:val="22"/>
        </w:rPr>
        <w:t>community-based organizations</w:t>
      </w:r>
      <w:r w:rsidRPr="00D173F3">
        <w:rPr>
          <w:rFonts w:asciiTheme="minorHAnsi" w:hAnsiTheme="minorHAnsi" w:cstheme="minorBidi"/>
          <w:szCs w:val="22"/>
        </w:rPr>
        <w:t xml:space="preserve">, and international organizations. In addition to that, Strategy considers Civil Society Organizations (CSOs) as a major partner to proceed with the implementation phase as well as with the Monitoring &amp; Evaluation component. Therefore, the Strategy recommended and drafted actionable objectives cantered around capacitating and enhancing the role of CSOs </w:t>
      </w:r>
      <w:r>
        <w:rPr>
          <w:rFonts w:asciiTheme="minorHAnsi" w:hAnsiTheme="minorHAnsi" w:cstheme="minorBidi"/>
          <w:szCs w:val="22"/>
        </w:rPr>
        <w:t>in preventing</w:t>
      </w:r>
      <w:r w:rsidRPr="00D173F3">
        <w:rPr>
          <w:rFonts w:asciiTheme="minorHAnsi" w:hAnsiTheme="minorHAnsi" w:cstheme="minorBidi"/>
          <w:szCs w:val="22"/>
        </w:rPr>
        <w:t xml:space="preserve"> Violent Extremism (VE), mainly</w:t>
      </w:r>
      <w:r>
        <w:rPr>
          <w:rFonts w:asciiTheme="minorHAnsi" w:hAnsiTheme="minorHAnsi" w:cstheme="minorBidi"/>
          <w:szCs w:val="22"/>
        </w:rPr>
        <w:t xml:space="preserve"> at</w:t>
      </w:r>
      <w:r w:rsidRPr="00D173F3">
        <w:rPr>
          <w:rFonts w:asciiTheme="minorHAnsi" w:hAnsiTheme="minorHAnsi" w:cstheme="minorBidi"/>
          <w:szCs w:val="22"/>
        </w:rPr>
        <w:t xml:space="preserve"> the very grass roots </w:t>
      </w:r>
      <w:r>
        <w:rPr>
          <w:rFonts w:asciiTheme="minorHAnsi" w:hAnsiTheme="minorHAnsi" w:cstheme="minorBidi"/>
          <w:szCs w:val="22"/>
        </w:rPr>
        <w:t>level</w:t>
      </w:r>
      <w:r w:rsidRPr="00D173F3">
        <w:rPr>
          <w:rFonts w:asciiTheme="minorHAnsi" w:hAnsiTheme="minorHAnsi" w:cstheme="minorBidi"/>
          <w:szCs w:val="22"/>
        </w:rPr>
        <w:t>. These organizations still worki</w:t>
      </w:r>
      <w:r>
        <w:rPr>
          <w:rFonts w:asciiTheme="minorHAnsi" w:hAnsiTheme="minorHAnsi" w:cstheme="minorBidi"/>
          <w:szCs w:val="22"/>
        </w:rPr>
        <w:t xml:space="preserve">ng on very small scale and with </w:t>
      </w:r>
      <w:r w:rsidRPr="00D173F3">
        <w:rPr>
          <w:rFonts w:asciiTheme="minorHAnsi" w:hAnsiTheme="minorHAnsi" w:cstheme="minorBidi"/>
          <w:szCs w:val="22"/>
        </w:rPr>
        <w:t>lack of communit</w:t>
      </w:r>
      <w:r>
        <w:rPr>
          <w:rFonts w:asciiTheme="minorHAnsi" w:hAnsiTheme="minorHAnsi" w:cstheme="minorBidi"/>
          <w:szCs w:val="22"/>
        </w:rPr>
        <w:t>y outreach tools and techniques</w:t>
      </w:r>
      <w:r w:rsidRPr="00D173F3">
        <w:rPr>
          <w:rFonts w:asciiTheme="minorHAnsi" w:hAnsiTheme="minorHAnsi" w:cstheme="minorBidi"/>
          <w:szCs w:val="22"/>
        </w:rPr>
        <w:t>. Thus, the proposal</w:t>
      </w:r>
      <w:r>
        <w:rPr>
          <w:rFonts w:asciiTheme="minorHAnsi" w:hAnsiTheme="minorHAnsi" w:cstheme="minorBidi"/>
          <w:szCs w:val="22"/>
        </w:rPr>
        <w:t xml:space="preserve"> is</w:t>
      </w:r>
      <w:r w:rsidRPr="00D173F3">
        <w:rPr>
          <w:rFonts w:asciiTheme="minorHAnsi" w:hAnsiTheme="minorHAnsi" w:cstheme="minorBidi"/>
          <w:szCs w:val="22"/>
        </w:rPr>
        <w:t xml:space="preserve"> considered as </w:t>
      </w:r>
      <w:r>
        <w:rPr>
          <w:rFonts w:asciiTheme="minorHAnsi" w:hAnsiTheme="minorHAnsi" w:cstheme="minorBidi"/>
          <w:szCs w:val="22"/>
        </w:rPr>
        <w:t xml:space="preserve">a </w:t>
      </w:r>
      <w:r w:rsidRPr="00D173F3">
        <w:rPr>
          <w:rFonts w:asciiTheme="minorHAnsi" w:hAnsiTheme="minorHAnsi" w:cstheme="minorBidi"/>
          <w:szCs w:val="22"/>
        </w:rPr>
        <w:t>building step toward achieving the goals related to strengthening the role of CSOs in combating, countering, and preventing violent extremism in Jordan.</w:t>
      </w:r>
      <w:r>
        <w:rPr>
          <w:rFonts w:asciiTheme="minorHAnsi" w:hAnsiTheme="minorHAnsi" w:cstheme="minorBidi"/>
          <w:szCs w:val="22"/>
        </w:rPr>
        <w:t xml:space="preserve"> Effective civil society partnership in PVE requires intensive capacity building around the areas of communication, project management, effective partnership and networking with government and grass root communities, as laid out by the PVE National Strategy. </w:t>
      </w:r>
    </w:p>
    <w:p w14:paraId="34EB80C1" w14:textId="77777777" w:rsidR="003E1595" w:rsidRPr="000C529D" w:rsidRDefault="003E1595" w:rsidP="003E1595">
      <w:pPr>
        <w:keepNext/>
        <w:shd w:val="clear" w:color="auto" w:fill="323E4F" w:themeFill="text2" w:themeFillShade="BF"/>
        <w:spacing w:before="120"/>
        <w:jc w:val="both"/>
        <w:outlineLvl w:val="0"/>
        <w:rPr>
          <w:rFonts w:asciiTheme="minorHAnsi" w:eastAsiaTheme="majorEastAsia" w:hAnsiTheme="minorHAnsi" w:cstheme="majorBidi"/>
          <w:b/>
          <w:bCs/>
          <w:kern w:val="32"/>
          <w:szCs w:val="22"/>
        </w:rPr>
      </w:pPr>
      <w:r w:rsidRPr="000C529D">
        <w:rPr>
          <w:rFonts w:asciiTheme="minorHAnsi" w:eastAsiaTheme="majorEastAsia" w:hAnsiTheme="minorHAnsi" w:cstheme="majorBidi"/>
          <w:b/>
          <w:bCs/>
          <w:kern w:val="32"/>
          <w:szCs w:val="22"/>
        </w:rPr>
        <w:t>OBJECTIVES</w:t>
      </w:r>
    </w:p>
    <w:p w14:paraId="49B74919" w14:textId="77777777" w:rsidR="003E1595" w:rsidRDefault="003E1595" w:rsidP="003E1595">
      <w:pPr>
        <w:tabs>
          <w:tab w:val="left" w:pos="270"/>
          <w:tab w:val="left" w:pos="9440"/>
          <w:tab w:val="left" w:pos="10080"/>
        </w:tabs>
        <w:spacing w:before="120"/>
        <w:ind w:right="-10"/>
        <w:rPr>
          <w:rFonts w:asciiTheme="minorHAnsi" w:eastAsia="Calibri" w:hAnsiTheme="minorHAnsi" w:cstheme="majorBidi"/>
          <w:iCs/>
          <w:szCs w:val="22"/>
        </w:rPr>
      </w:pPr>
    </w:p>
    <w:p w14:paraId="177C2DE2" w14:textId="77777777" w:rsidR="003E1595" w:rsidRPr="0072603B" w:rsidRDefault="003E1595" w:rsidP="003E1595">
      <w:pPr>
        <w:widowControl w:val="0"/>
        <w:overflowPunct w:val="0"/>
        <w:autoSpaceDE w:val="0"/>
        <w:autoSpaceDN w:val="0"/>
        <w:adjustRightInd w:val="0"/>
        <w:spacing w:before="120" w:after="120" w:line="360" w:lineRule="auto"/>
        <w:ind w:right="160"/>
        <w:jc w:val="both"/>
        <w:rPr>
          <w:rFonts w:asciiTheme="minorHAnsi" w:hAnsiTheme="minorHAnsi" w:cstheme="minorBidi"/>
          <w:szCs w:val="22"/>
        </w:rPr>
      </w:pPr>
      <w:r w:rsidRPr="0072603B">
        <w:rPr>
          <w:rFonts w:asciiTheme="minorHAnsi" w:hAnsiTheme="minorHAnsi" w:cstheme="minorBidi"/>
          <w:szCs w:val="22"/>
        </w:rPr>
        <w:t xml:space="preserve">Through its extensive experience with civil society organizations, UNDP recognized that it is crucial to engage civil society in finding alternative settlements for conflicts and to promote peace and non-violence as essential elements in the prevention of violent extremism. The efforts invested during the past 5 years by international partners are mostly in line with the recommendations of the national strategy on PVE in Jordan.  Moreover, UNDP acknowledges the challenge to reach to a universally accepted definition of the terms “radicalization”, “violent extremism”, “terrorism”, therefore it is easier to work and invest into prevention at early stages. </w:t>
      </w:r>
    </w:p>
    <w:p w14:paraId="11F8FCDD" w14:textId="4A88B23C" w:rsidR="003E1595" w:rsidRPr="0072603B" w:rsidRDefault="003E1595" w:rsidP="003E1595">
      <w:pPr>
        <w:widowControl w:val="0"/>
        <w:overflowPunct w:val="0"/>
        <w:autoSpaceDE w:val="0"/>
        <w:autoSpaceDN w:val="0"/>
        <w:adjustRightInd w:val="0"/>
        <w:spacing w:before="120" w:after="120" w:line="360" w:lineRule="auto"/>
        <w:ind w:right="160"/>
        <w:jc w:val="both"/>
        <w:rPr>
          <w:rFonts w:asciiTheme="minorHAnsi" w:hAnsiTheme="minorHAnsi" w:cstheme="minorBidi"/>
          <w:szCs w:val="22"/>
        </w:rPr>
      </w:pPr>
      <w:r w:rsidRPr="0072603B">
        <w:rPr>
          <w:rFonts w:asciiTheme="minorHAnsi" w:hAnsiTheme="minorHAnsi" w:cstheme="minorBidi"/>
          <w:szCs w:val="22"/>
        </w:rPr>
        <w:lastRenderedPageBreak/>
        <w:t xml:space="preserve">In response, the overarching goal of the current project is to enhance the role of civil society organizations in the prevention of violent extremism in Jordan. The immediate objectives of this project are to establish a national NGO National Consortium that aims to strengthen the capacities of NGOs and enhance their contribution to and participation in implementing the national PVE strategy in Jordan. The Consortium is expected to serve as a platform or a network composed of development-focused NGOs in Jordan. The objectives of the platform will be to enhance coordination and cooperation of Jordanian NGOs in the field of </w:t>
      </w:r>
      <w:r w:rsidR="009A6FA6" w:rsidRPr="0072603B">
        <w:rPr>
          <w:rFonts w:asciiTheme="minorHAnsi" w:hAnsiTheme="minorHAnsi" w:cstheme="minorBidi"/>
          <w:szCs w:val="22"/>
        </w:rPr>
        <w:t>peace-making</w:t>
      </w:r>
      <w:r w:rsidRPr="0072603B">
        <w:rPr>
          <w:rFonts w:asciiTheme="minorHAnsi" w:hAnsiTheme="minorHAnsi" w:cstheme="minorBidi"/>
          <w:szCs w:val="22"/>
        </w:rPr>
        <w:t>, crime prevention and prevention of violent extremism. Th</w:t>
      </w:r>
      <w:r w:rsidR="009A6FA6">
        <w:rPr>
          <w:rFonts w:asciiTheme="minorHAnsi" w:hAnsiTheme="minorHAnsi" w:cstheme="minorBidi"/>
          <w:szCs w:val="22"/>
        </w:rPr>
        <w:t>e</w:t>
      </w:r>
      <w:r w:rsidRPr="0072603B">
        <w:rPr>
          <w:rFonts w:asciiTheme="minorHAnsi" w:hAnsiTheme="minorHAnsi" w:cstheme="minorBidi"/>
          <w:szCs w:val="22"/>
        </w:rPr>
        <w:t xml:space="preserve"> consortium will also play as a hub to promote an effective exchange of ideas and experiences, to strengthen organizational capacities of NGOs to carry out PVE projects, to build national capacities within NGOs to develop and manage projects and to expand the contribution of NGOs to national dialogue. The consortium will ensure representation from interest groups, including women’s groups, marginalized groups and vulnerable people.  In summary, the objectives of this project will be implemented through: </w:t>
      </w:r>
    </w:p>
    <w:p w14:paraId="180961E2" w14:textId="77777777" w:rsidR="003E1595" w:rsidRPr="0072603B" w:rsidRDefault="003E1595" w:rsidP="003E1595">
      <w:pPr>
        <w:pStyle w:val="Listenabsatz"/>
        <w:widowControl w:val="0"/>
        <w:numPr>
          <w:ilvl w:val="0"/>
          <w:numId w:val="26"/>
        </w:numPr>
        <w:overflowPunct w:val="0"/>
        <w:autoSpaceDE w:val="0"/>
        <w:autoSpaceDN w:val="0"/>
        <w:adjustRightInd w:val="0"/>
        <w:spacing w:before="120" w:after="120" w:line="360" w:lineRule="auto"/>
        <w:ind w:right="160"/>
        <w:contextualSpacing/>
        <w:jc w:val="both"/>
        <w:rPr>
          <w:rFonts w:asciiTheme="minorHAnsi" w:hAnsiTheme="minorHAnsi" w:cstheme="minorBidi"/>
          <w:szCs w:val="22"/>
        </w:rPr>
      </w:pPr>
      <w:r w:rsidRPr="0072603B">
        <w:rPr>
          <w:rFonts w:asciiTheme="minorHAnsi" w:hAnsiTheme="minorHAnsi" w:cstheme="minorBidi"/>
          <w:szCs w:val="22"/>
        </w:rPr>
        <w:t xml:space="preserve">Creating an efficient inclusive consortium of civil society organizations to serve as a national platform, with a focus on a core group of NGOs </w:t>
      </w:r>
      <w:r>
        <w:rPr>
          <w:rFonts w:asciiTheme="minorHAnsi" w:hAnsiTheme="minorHAnsi" w:cstheme="minorBidi"/>
          <w:szCs w:val="22"/>
        </w:rPr>
        <w:t xml:space="preserve">(15 NGOs) </w:t>
      </w:r>
      <w:r w:rsidRPr="0072603B">
        <w:rPr>
          <w:rFonts w:asciiTheme="minorHAnsi" w:hAnsiTheme="minorHAnsi" w:cstheme="minorBidi"/>
          <w:szCs w:val="22"/>
        </w:rPr>
        <w:t xml:space="preserve">which have strong institutional capacities and proven history of experience in Jordan. The Platform will help increase efficiency of collaboration between civil society actors to enhance overall PVE impact. </w:t>
      </w:r>
    </w:p>
    <w:p w14:paraId="3AFCEC66" w14:textId="77777777" w:rsidR="003E1595" w:rsidRPr="0072603B" w:rsidRDefault="003E1595" w:rsidP="003E1595">
      <w:pPr>
        <w:pStyle w:val="Listenabsatz"/>
        <w:widowControl w:val="0"/>
        <w:numPr>
          <w:ilvl w:val="0"/>
          <w:numId w:val="26"/>
        </w:numPr>
        <w:overflowPunct w:val="0"/>
        <w:autoSpaceDE w:val="0"/>
        <w:autoSpaceDN w:val="0"/>
        <w:adjustRightInd w:val="0"/>
        <w:spacing w:before="120" w:after="120" w:line="360" w:lineRule="auto"/>
        <w:ind w:right="160"/>
        <w:contextualSpacing/>
        <w:jc w:val="both"/>
        <w:rPr>
          <w:rFonts w:asciiTheme="minorHAnsi" w:hAnsiTheme="minorHAnsi" w:cstheme="minorBidi"/>
          <w:szCs w:val="22"/>
        </w:rPr>
      </w:pPr>
      <w:r w:rsidRPr="0072603B">
        <w:rPr>
          <w:rFonts w:asciiTheme="minorHAnsi" w:hAnsiTheme="minorHAnsi" w:cstheme="minorBidi"/>
          <w:szCs w:val="22"/>
        </w:rPr>
        <w:t>Enhancing civic engagement and participation in public life in Jordan in the prevention of violent extremism;</w:t>
      </w:r>
    </w:p>
    <w:p w14:paraId="1405E1F8" w14:textId="25480B36" w:rsidR="003E1595" w:rsidRPr="0072603B" w:rsidRDefault="003E1595" w:rsidP="003E1595">
      <w:pPr>
        <w:pStyle w:val="Listenabsatz"/>
        <w:widowControl w:val="0"/>
        <w:numPr>
          <w:ilvl w:val="0"/>
          <w:numId w:val="26"/>
        </w:numPr>
        <w:overflowPunct w:val="0"/>
        <w:autoSpaceDE w:val="0"/>
        <w:autoSpaceDN w:val="0"/>
        <w:adjustRightInd w:val="0"/>
        <w:spacing w:before="120" w:after="120" w:line="360" w:lineRule="auto"/>
        <w:ind w:right="160"/>
        <w:contextualSpacing/>
        <w:jc w:val="both"/>
        <w:rPr>
          <w:rFonts w:asciiTheme="minorHAnsi" w:hAnsiTheme="minorHAnsi" w:cstheme="minorBidi"/>
          <w:szCs w:val="22"/>
        </w:rPr>
      </w:pPr>
      <w:r w:rsidRPr="0072603B">
        <w:rPr>
          <w:rFonts w:asciiTheme="minorHAnsi" w:hAnsiTheme="minorHAnsi" w:cstheme="minorBidi"/>
          <w:szCs w:val="22"/>
        </w:rPr>
        <w:t>Raising PVE-</w:t>
      </w:r>
      <w:r w:rsidR="009A6FA6" w:rsidRPr="0072603B">
        <w:rPr>
          <w:rFonts w:asciiTheme="minorHAnsi" w:hAnsiTheme="minorHAnsi" w:cstheme="minorBidi"/>
          <w:szCs w:val="22"/>
        </w:rPr>
        <w:t>centred</w:t>
      </w:r>
      <w:r w:rsidRPr="0072603B">
        <w:rPr>
          <w:rFonts w:asciiTheme="minorHAnsi" w:hAnsiTheme="minorHAnsi" w:cstheme="minorBidi"/>
          <w:szCs w:val="22"/>
        </w:rPr>
        <w:t xml:space="preserve"> awareness among CSOs/NGOs, who will work together to target, design, and deliver initiatives and campaigns that provide alternative pathways for CSOs/NGOs in communities vulnerable to violent extremism. </w:t>
      </w:r>
    </w:p>
    <w:p w14:paraId="40BAA390" w14:textId="77777777" w:rsidR="003E1595" w:rsidRPr="0072603B" w:rsidRDefault="003E1595" w:rsidP="003E1595">
      <w:pPr>
        <w:pStyle w:val="Listenabsatz"/>
        <w:widowControl w:val="0"/>
        <w:numPr>
          <w:ilvl w:val="0"/>
          <w:numId w:val="26"/>
        </w:numPr>
        <w:overflowPunct w:val="0"/>
        <w:autoSpaceDE w:val="0"/>
        <w:autoSpaceDN w:val="0"/>
        <w:adjustRightInd w:val="0"/>
        <w:spacing w:before="120" w:after="120" w:line="360" w:lineRule="auto"/>
        <w:ind w:right="160"/>
        <w:contextualSpacing/>
        <w:jc w:val="both"/>
        <w:rPr>
          <w:rFonts w:asciiTheme="minorHAnsi" w:hAnsiTheme="minorHAnsi" w:cstheme="minorBidi"/>
          <w:szCs w:val="22"/>
        </w:rPr>
      </w:pPr>
      <w:r w:rsidRPr="0072603B">
        <w:rPr>
          <w:rFonts w:asciiTheme="minorHAnsi" w:hAnsiTheme="minorHAnsi" w:cstheme="minorBidi"/>
          <w:szCs w:val="22"/>
        </w:rPr>
        <w:t xml:space="preserve">Fostering a partnership environment between government and non-government institutions to better implement the PVE national strategy. </w:t>
      </w:r>
    </w:p>
    <w:p w14:paraId="53219531" w14:textId="77777777" w:rsidR="003E1595" w:rsidRPr="000C529D" w:rsidRDefault="003E1595" w:rsidP="003E1595">
      <w:pPr>
        <w:keepNext/>
        <w:shd w:val="clear" w:color="auto" w:fill="323E4F" w:themeFill="text2" w:themeFillShade="BF"/>
        <w:tabs>
          <w:tab w:val="left" w:pos="3822"/>
        </w:tabs>
        <w:spacing w:before="120"/>
        <w:jc w:val="both"/>
        <w:outlineLvl w:val="0"/>
        <w:rPr>
          <w:rFonts w:asciiTheme="minorHAnsi" w:eastAsiaTheme="majorEastAsia" w:hAnsiTheme="minorHAnsi" w:cstheme="majorBidi"/>
          <w:b/>
          <w:bCs/>
          <w:kern w:val="32"/>
          <w:szCs w:val="22"/>
        </w:rPr>
      </w:pPr>
      <w:r w:rsidRPr="000C529D">
        <w:rPr>
          <w:rFonts w:asciiTheme="minorHAnsi" w:eastAsiaTheme="majorEastAsia" w:hAnsiTheme="minorHAnsi" w:cstheme="majorBidi"/>
          <w:b/>
          <w:bCs/>
          <w:kern w:val="32"/>
          <w:szCs w:val="22"/>
        </w:rPr>
        <w:t>III. OUTPUTS</w:t>
      </w:r>
      <w:r w:rsidRPr="000C529D">
        <w:rPr>
          <w:rFonts w:asciiTheme="minorHAnsi" w:eastAsiaTheme="majorEastAsia" w:hAnsiTheme="minorHAnsi" w:cstheme="majorBidi"/>
          <w:b/>
          <w:bCs/>
          <w:kern w:val="32"/>
          <w:szCs w:val="22"/>
        </w:rPr>
        <w:tab/>
      </w:r>
    </w:p>
    <w:p w14:paraId="4A655663" w14:textId="77777777" w:rsidR="003E1595" w:rsidRDefault="003E1595" w:rsidP="003E1595">
      <w:pPr>
        <w:spacing w:before="120" w:line="300" w:lineRule="atLeast"/>
        <w:contextualSpacing/>
        <w:jc w:val="both"/>
        <w:rPr>
          <w:rFonts w:asciiTheme="minorHAnsi" w:eastAsia="MS Gothic" w:hAnsiTheme="minorHAnsi" w:cs="Calibri"/>
        </w:rPr>
      </w:pPr>
    </w:p>
    <w:p w14:paraId="2CAFE8C9" w14:textId="2D256836" w:rsidR="003E1595" w:rsidRPr="0072603B" w:rsidRDefault="003E1595" w:rsidP="003E1595">
      <w:pPr>
        <w:pStyle w:val="Listenabsatz"/>
        <w:widowControl w:val="0"/>
        <w:numPr>
          <w:ilvl w:val="0"/>
          <w:numId w:val="25"/>
        </w:numPr>
        <w:overflowPunct w:val="0"/>
        <w:autoSpaceDE w:val="0"/>
        <w:autoSpaceDN w:val="0"/>
        <w:adjustRightInd w:val="0"/>
        <w:spacing w:before="120" w:after="120" w:line="360" w:lineRule="auto"/>
        <w:ind w:right="160"/>
        <w:contextualSpacing/>
        <w:jc w:val="both"/>
        <w:rPr>
          <w:rFonts w:asciiTheme="minorHAnsi" w:hAnsiTheme="minorHAnsi" w:cstheme="minorBidi"/>
          <w:szCs w:val="22"/>
        </w:rPr>
      </w:pPr>
      <w:r w:rsidRPr="0072603B">
        <w:rPr>
          <w:rFonts w:asciiTheme="minorHAnsi" w:hAnsiTheme="minorHAnsi" w:cstheme="minorBidi"/>
          <w:szCs w:val="22"/>
        </w:rPr>
        <w:t xml:space="preserve">Output 1: </w:t>
      </w:r>
      <w:r w:rsidR="00EA61C1" w:rsidRPr="00EA61C1">
        <w:rPr>
          <w:rFonts w:asciiTheme="minorHAnsi" w:hAnsiTheme="minorHAnsi" w:cstheme="minorBidi"/>
          <w:szCs w:val="22"/>
        </w:rPr>
        <w:t>Implementing a comprehensive capacity building training plan for civil society, especially CBOs, on core PVE areas and localized PVE interventions</w:t>
      </w:r>
    </w:p>
    <w:p w14:paraId="7336D32F" w14:textId="1A77B7FC" w:rsidR="003E1595" w:rsidRPr="00DA22CA" w:rsidRDefault="003E1595" w:rsidP="003E1595">
      <w:pPr>
        <w:shd w:val="clear" w:color="auto" w:fill="EDEDED" w:themeFill="accent3" w:themeFillTint="33"/>
        <w:tabs>
          <w:tab w:val="left" w:pos="270"/>
          <w:tab w:val="left" w:pos="9440"/>
        </w:tabs>
        <w:spacing w:before="120"/>
        <w:ind w:right="-10"/>
        <w:jc w:val="both"/>
        <w:rPr>
          <w:rFonts w:asciiTheme="minorHAnsi" w:eastAsia="Calibri" w:hAnsiTheme="minorHAnsi" w:cstheme="majorBidi"/>
          <w:b/>
          <w:bCs/>
          <w:szCs w:val="22"/>
        </w:rPr>
      </w:pPr>
      <w:r w:rsidRPr="000C529D">
        <w:rPr>
          <w:rFonts w:asciiTheme="minorHAnsi" w:eastAsia="Calibri" w:hAnsiTheme="minorHAnsi" w:cstheme="majorBidi"/>
          <w:b/>
          <w:bCs/>
          <w:spacing w:val="5"/>
          <w:szCs w:val="22"/>
          <w:u w:val="single"/>
        </w:rPr>
        <w:t>Output 1:</w:t>
      </w:r>
      <w:r w:rsidRPr="000C529D">
        <w:rPr>
          <w:rFonts w:asciiTheme="minorHAnsi" w:eastAsia="Calibri" w:hAnsiTheme="minorHAnsi" w:cstheme="majorBidi"/>
          <w:b/>
          <w:bCs/>
          <w:spacing w:val="5"/>
          <w:szCs w:val="22"/>
        </w:rPr>
        <w:t xml:space="preserve"> </w:t>
      </w:r>
      <w:r w:rsidR="00165DEA">
        <w:rPr>
          <w:rFonts w:asciiTheme="minorHAnsi" w:eastAsia="Calibri" w:hAnsiTheme="minorHAnsi" w:cstheme="majorBidi"/>
          <w:b/>
          <w:spacing w:val="5"/>
          <w:szCs w:val="22"/>
        </w:rPr>
        <w:t>Implementing a comprehensive capacity building training plan for civil society, especially CBOs, on core PVE areas and localized PVE interventions</w:t>
      </w:r>
    </w:p>
    <w:p w14:paraId="2565AC82" w14:textId="6DD93306" w:rsidR="00E44217" w:rsidRPr="00E44217" w:rsidRDefault="00E44217" w:rsidP="005C6EC3">
      <w:pPr>
        <w:pStyle w:val="Listenabsatz"/>
        <w:numPr>
          <w:ilvl w:val="0"/>
          <w:numId w:val="26"/>
        </w:numPr>
        <w:autoSpaceDE w:val="0"/>
        <w:autoSpaceDN w:val="0"/>
        <w:adjustRightInd w:val="0"/>
        <w:spacing w:before="120" w:after="0"/>
        <w:ind w:left="714" w:hanging="357"/>
        <w:rPr>
          <w:rFonts w:asciiTheme="minorHAnsi" w:hAnsiTheme="minorHAnsi" w:cs="Helvetica"/>
          <w:color w:val="000000"/>
          <w:szCs w:val="22"/>
        </w:rPr>
      </w:pPr>
      <w:r w:rsidRPr="00E44217">
        <w:rPr>
          <w:rFonts w:asciiTheme="minorHAnsi" w:hAnsiTheme="minorHAnsi" w:cs="Helvetica"/>
          <w:color w:val="000000"/>
          <w:szCs w:val="22"/>
        </w:rPr>
        <w:t>Activity 2.1 Conduct a training needs assessment on PVE capacity amongst CSO/CBOs and for</w:t>
      </w:r>
      <w:r>
        <w:rPr>
          <w:rFonts w:asciiTheme="minorHAnsi" w:hAnsiTheme="minorHAnsi" w:cs="Helvetica"/>
          <w:color w:val="000000"/>
          <w:szCs w:val="22"/>
        </w:rPr>
        <w:t xml:space="preserve"> </w:t>
      </w:r>
      <w:r w:rsidRPr="00E44217">
        <w:rPr>
          <w:rFonts w:asciiTheme="minorHAnsi" w:hAnsiTheme="minorHAnsi" w:cs="Helvetica"/>
          <w:color w:val="000000"/>
          <w:szCs w:val="22"/>
        </w:rPr>
        <w:t>key focus areas for PVE</w:t>
      </w:r>
    </w:p>
    <w:p w14:paraId="49C94E46" w14:textId="79F09753" w:rsidR="00E44217" w:rsidRPr="005C6EC3" w:rsidRDefault="00E44217" w:rsidP="005C6EC3">
      <w:pPr>
        <w:pStyle w:val="Listenabsatz"/>
        <w:numPr>
          <w:ilvl w:val="0"/>
          <w:numId w:val="26"/>
        </w:numPr>
        <w:autoSpaceDE w:val="0"/>
        <w:autoSpaceDN w:val="0"/>
        <w:adjustRightInd w:val="0"/>
        <w:spacing w:before="120" w:after="0"/>
        <w:ind w:left="714" w:hanging="357"/>
        <w:rPr>
          <w:rFonts w:asciiTheme="minorHAnsi" w:hAnsiTheme="minorHAnsi" w:cs="Helvetica"/>
          <w:color w:val="000000"/>
          <w:szCs w:val="22"/>
        </w:rPr>
      </w:pPr>
      <w:r w:rsidRPr="005C6EC3">
        <w:rPr>
          <w:rFonts w:asciiTheme="minorHAnsi" w:hAnsiTheme="minorHAnsi" w:cs="Helvetica"/>
          <w:color w:val="000000"/>
          <w:szCs w:val="22"/>
        </w:rPr>
        <w:t>Activity 2.2. Recruitment of a core training team and providing core training of trainers (ToT) skills</w:t>
      </w:r>
      <w:r w:rsidR="005C6EC3">
        <w:rPr>
          <w:rFonts w:asciiTheme="minorHAnsi" w:hAnsiTheme="minorHAnsi" w:cs="Helvetica"/>
          <w:color w:val="000000"/>
          <w:szCs w:val="22"/>
        </w:rPr>
        <w:t xml:space="preserve"> </w:t>
      </w:r>
      <w:r w:rsidRPr="005C6EC3">
        <w:rPr>
          <w:rFonts w:asciiTheme="minorHAnsi" w:hAnsiTheme="minorHAnsi" w:cs="Helvetica"/>
          <w:color w:val="000000"/>
          <w:szCs w:val="22"/>
        </w:rPr>
        <w:t>training on PVE</w:t>
      </w:r>
    </w:p>
    <w:p w14:paraId="521E04F4" w14:textId="3E64387A" w:rsidR="00E44217" w:rsidRDefault="00E44217" w:rsidP="005C6EC3">
      <w:pPr>
        <w:pStyle w:val="Listenabsatz"/>
        <w:numPr>
          <w:ilvl w:val="0"/>
          <w:numId w:val="26"/>
        </w:numPr>
        <w:autoSpaceDE w:val="0"/>
        <w:autoSpaceDN w:val="0"/>
        <w:adjustRightInd w:val="0"/>
        <w:spacing w:before="120" w:after="0"/>
        <w:ind w:left="714" w:hanging="357"/>
        <w:rPr>
          <w:rFonts w:asciiTheme="minorHAnsi" w:hAnsiTheme="minorHAnsi" w:cs="Helvetica"/>
          <w:color w:val="000000"/>
          <w:szCs w:val="22"/>
        </w:rPr>
      </w:pPr>
      <w:r w:rsidRPr="005C6EC3">
        <w:rPr>
          <w:rFonts w:asciiTheme="minorHAnsi" w:hAnsiTheme="minorHAnsi" w:cs="Helvetica"/>
          <w:color w:val="000000"/>
          <w:szCs w:val="22"/>
        </w:rPr>
        <w:t>Activity 2.3 Design of training plan and content for comprehensive capacity development</w:t>
      </w:r>
      <w:r w:rsidR="005C6EC3">
        <w:rPr>
          <w:rFonts w:asciiTheme="minorHAnsi" w:hAnsiTheme="minorHAnsi" w:cs="Helvetica"/>
          <w:color w:val="000000"/>
          <w:szCs w:val="22"/>
        </w:rPr>
        <w:t xml:space="preserve"> </w:t>
      </w:r>
      <w:r w:rsidRPr="005C6EC3">
        <w:rPr>
          <w:rFonts w:asciiTheme="minorHAnsi" w:hAnsiTheme="minorHAnsi" w:cs="Helvetica"/>
          <w:color w:val="000000"/>
          <w:szCs w:val="22"/>
        </w:rPr>
        <w:t>programme</w:t>
      </w:r>
      <w:r w:rsidR="005C6EC3">
        <w:rPr>
          <w:rFonts w:asciiTheme="minorHAnsi" w:hAnsiTheme="minorHAnsi" w:cs="Helvetica"/>
          <w:color w:val="000000"/>
          <w:szCs w:val="22"/>
        </w:rPr>
        <w:t xml:space="preserve"> – this includes a training needs assessment</w:t>
      </w:r>
    </w:p>
    <w:p w14:paraId="5704E627" w14:textId="77777777" w:rsidR="00E44217" w:rsidRPr="005C6EC3" w:rsidRDefault="00E44217" w:rsidP="005C6EC3">
      <w:pPr>
        <w:pStyle w:val="Listenabsatz"/>
        <w:numPr>
          <w:ilvl w:val="0"/>
          <w:numId w:val="26"/>
        </w:numPr>
        <w:autoSpaceDE w:val="0"/>
        <w:autoSpaceDN w:val="0"/>
        <w:adjustRightInd w:val="0"/>
        <w:spacing w:before="120" w:after="0"/>
        <w:ind w:left="714" w:hanging="357"/>
        <w:rPr>
          <w:rFonts w:asciiTheme="minorHAnsi" w:hAnsiTheme="minorHAnsi" w:cs="Helvetica"/>
          <w:color w:val="000000"/>
          <w:szCs w:val="22"/>
        </w:rPr>
      </w:pPr>
      <w:r w:rsidRPr="005C6EC3">
        <w:rPr>
          <w:rFonts w:asciiTheme="minorHAnsi" w:hAnsiTheme="minorHAnsi" w:cs="Helvetica"/>
          <w:color w:val="000000"/>
          <w:szCs w:val="22"/>
        </w:rPr>
        <w:t>Activity 2.4 Delivery of training courses at governorate levels</w:t>
      </w:r>
    </w:p>
    <w:p w14:paraId="067F0995" w14:textId="7276D3D0" w:rsidR="00E44217" w:rsidRDefault="00E44217" w:rsidP="005C6EC3">
      <w:pPr>
        <w:autoSpaceDE w:val="0"/>
        <w:autoSpaceDN w:val="0"/>
        <w:adjustRightInd w:val="0"/>
        <w:spacing w:after="0"/>
        <w:rPr>
          <w:rFonts w:asciiTheme="minorHAnsi" w:hAnsiTheme="minorHAnsi" w:cstheme="minorBidi"/>
          <w:szCs w:val="22"/>
        </w:rPr>
      </w:pPr>
    </w:p>
    <w:p w14:paraId="264B7B67" w14:textId="77777777" w:rsidR="003E1595" w:rsidRDefault="003E1595" w:rsidP="003E1595">
      <w:pPr>
        <w:rPr>
          <w:rFonts w:asciiTheme="minorHAnsi" w:hAnsiTheme="minorHAnsi"/>
        </w:rPr>
      </w:pPr>
    </w:p>
    <w:p w14:paraId="38C9F14A" w14:textId="77777777" w:rsidR="003E1595" w:rsidRPr="00987E8C" w:rsidRDefault="003E1595" w:rsidP="003E1595">
      <w:pPr>
        <w:shd w:val="clear" w:color="auto" w:fill="FBE4D5" w:themeFill="accent2" w:themeFillTint="33"/>
        <w:spacing w:after="120" w:line="276" w:lineRule="auto"/>
        <w:jc w:val="both"/>
        <w:rPr>
          <w:rFonts w:ascii="Calibri" w:eastAsia="Calibri" w:hAnsi="Calibri" w:cs="Arial"/>
          <w:b/>
          <w:bCs/>
          <w:szCs w:val="22"/>
        </w:rPr>
      </w:pPr>
      <w:r>
        <w:rPr>
          <w:rFonts w:ascii="Calibri" w:eastAsia="Calibri" w:hAnsi="Calibri" w:cs="Arial"/>
          <w:b/>
          <w:bCs/>
          <w:szCs w:val="22"/>
        </w:rPr>
        <w:lastRenderedPageBreak/>
        <w:t xml:space="preserve">Policy </w:t>
      </w:r>
      <w:r w:rsidRPr="00987E8C">
        <w:rPr>
          <w:rFonts w:ascii="Calibri" w:eastAsia="Calibri" w:hAnsi="Calibri" w:cs="Arial"/>
          <w:b/>
          <w:bCs/>
          <w:szCs w:val="22"/>
        </w:rPr>
        <w:t>Engagement &amp; Capacity Development Activities:</w:t>
      </w:r>
    </w:p>
    <w:p w14:paraId="363A79AD" w14:textId="77777777" w:rsidR="003E1595" w:rsidRPr="00987E8C" w:rsidRDefault="003E1595" w:rsidP="003E1595">
      <w:pPr>
        <w:spacing w:after="200" w:line="276" w:lineRule="auto"/>
        <w:jc w:val="both"/>
        <w:rPr>
          <w:rFonts w:ascii="Calibri" w:eastAsia="Calibri" w:hAnsi="Calibri" w:cs="Arial"/>
          <w:szCs w:val="22"/>
        </w:rPr>
      </w:pPr>
      <w:r w:rsidRPr="00987E8C">
        <w:rPr>
          <w:rFonts w:ascii="Calibri" w:eastAsia="Calibri" w:hAnsi="Calibri" w:cs="Arial"/>
          <w:szCs w:val="22"/>
        </w:rPr>
        <w:t>In addition to its role in incubating the NGO</w:t>
      </w:r>
      <w:r>
        <w:rPr>
          <w:rFonts w:ascii="Calibri" w:eastAsia="Calibri" w:hAnsi="Calibri" w:cs="Arial"/>
          <w:szCs w:val="22"/>
        </w:rPr>
        <w:t>s</w:t>
      </w:r>
      <w:r w:rsidRPr="00987E8C">
        <w:rPr>
          <w:rFonts w:ascii="Calibri" w:eastAsia="Calibri" w:hAnsi="Calibri" w:cs="Arial"/>
          <w:szCs w:val="22"/>
        </w:rPr>
        <w:t xml:space="preserve"> Platform, </w:t>
      </w:r>
      <w:r>
        <w:rPr>
          <w:rFonts w:ascii="Calibri" w:eastAsia="Calibri" w:hAnsi="Calibri" w:cs="Arial"/>
          <w:szCs w:val="22"/>
        </w:rPr>
        <w:t xml:space="preserve">UNDP </w:t>
      </w:r>
      <w:r w:rsidRPr="00987E8C">
        <w:rPr>
          <w:rFonts w:ascii="Calibri" w:eastAsia="Calibri" w:hAnsi="Calibri" w:cs="Arial"/>
          <w:szCs w:val="22"/>
        </w:rPr>
        <w:t xml:space="preserve">is engaged in several activities to create space for NGOs to engage policymakers at a national level.  These include organizing workshops with the </w:t>
      </w:r>
      <w:r>
        <w:rPr>
          <w:rFonts w:ascii="Calibri" w:eastAsia="Calibri" w:hAnsi="Calibri" w:cs="Arial"/>
          <w:szCs w:val="22"/>
        </w:rPr>
        <w:t>line ministries entrusted to implement the PVE national strategy (8 line ministries + Public Security Directorate)</w:t>
      </w:r>
      <w:r w:rsidRPr="00987E8C">
        <w:rPr>
          <w:rFonts w:ascii="Calibri" w:eastAsia="Calibri" w:hAnsi="Calibri" w:cs="Arial"/>
          <w:szCs w:val="22"/>
        </w:rPr>
        <w:t xml:space="preserve"> where NGOs can provide</w:t>
      </w:r>
      <w:r>
        <w:rPr>
          <w:rFonts w:ascii="Calibri" w:eastAsia="Calibri" w:hAnsi="Calibri" w:cs="Arial"/>
          <w:szCs w:val="22"/>
        </w:rPr>
        <w:t xml:space="preserve"> implementation support</w:t>
      </w:r>
      <w:r w:rsidRPr="00987E8C">
        <w:rPr>
          <w:rFonts w:ascii="Calibri" w:eastAsia="Calibri" w:hAnsi="Calibri" w:cs="Arial"/>
          <w:szCs w:val="22"/>
        </w:rPr>
        <w:t xml:space="preserve"> </w:t>
      </w:r>
      <w:r>
        <w:rPr>
          <w:rFonts w:ascii="Calibri" w:eastAsia="Calibri" w:hAnsi="Calibri" w:cs="Arial"/>
          <w:szCs w:val="22"/>
        </w:rPr>
        <w:t>into relevant sections of the strategy</w:t>
      </w:r>
      <w:r w:rsidRPr="00987E8C">
        <w:rPr>
          <w:rFonts w:ascii="Calibri" w:eastAsia="Calibri" w:hAnsi="Calibri" w:cs="Arial"/>
          <w:szCs w:val="22"/>
        </w:rPr>
        <w:t xml:space="preserve"> and ensuring NGO involve</w:t>
      </w:r>
      <w:r>
        <w:rPr>
          <w:rFonts w:ascii="Calibri" w:eastAsia="Calibri" w:hAnsi="Calibri" w:cs="Arial"/>
          <w:szCs w:val="22"/>
        </w:rPr>
        <w:t xml:space="preserve">ment throughout the strategy implementation stages. </w:t>
      </w:r>
    </w:p>
    <w:p w14:paraId="7C5ABADC" w14:textId="77777777" w:rsidR="003E1595" w:rsidRPr="00AD07D7" w:rsidRDefault="003E1595" w:rsidP="003E1595">
      <w:pPr>
        <w:rPr>
          <w:rFonts w:asciiTheme="minorHAnsi" w:hAnsiTheme="minorHAnsi"/>
        </w:rPr>
      </w:pPr>
    </w:p>
    <w:p w14:paraId="3FBF8208" w14:textId="7F14A029" w:rsidR="003E1595" w:rsidRPr="000C529D" w:rsidRDefault="003E1595" w:rsidP="003E1595">
      <w:pPr>
        <w:keepNext/>
        <w:shd w:val="clear" w:color="auto" w:fill="323E4F" w:themeFill="text2" w:themeFillShade="BF"/>
        <w:tabs>
          <w:tab w:val="left" w:pos="3822"/>
        </w:tabs>
        <w:spacing w:before="120"/>
        <w:jc w:val="both"/>
        <w:outlineLvl w:val="0"/>
        <w:rPr>
          <w:rFonts w:asciiTheme="minorHAnsi" w:eastAsiaTheme="majorEastAsia" w:hAnsiTheme="minorHAnsi" w:cstheme="majorBidi"/>
          <w:b/>
          <w:bCs/>
          <w:kern w:val="32"/>
          <w:szCs w:val="22"/>
        </w:rPr>
      </w:pPr>
      <w:r w:rsidRPr="000C529D">
        <w:rPr>
          <w:rFonts w:asciiTheme="minorHAnsi" w:eastAsiaTheme="majorEastAsia" w:hAnsiTheme="minorHAnsi" w:cstheme="majorBidi"/>
          <w:b/>
          <w:bCs/>
          <w:kern w:val="32"/>
          <w:szCs w:val="22"/>
        </w:rPr>
        <w:t>IV. Timeframe</w:t>
      </w:r>
      <w:r w:rsidR="00165DEA">
        <w:rPr>
          <w:rFonts w:asciiTheme="minorHAnsi" w:eastAsiaTheme="majorEastAsia" w:hAnsiTheme="minorHAnsi" w:cstheme="majorBidi"/>
          <w:b/>
          <w:bCs/>
          <w:kern w:val="32"/>
          <w:szCs w:val="22"/>
        </w:rPr>
        <w:t xml:space="preserve"> and estimated budget</w:t>
      </w:r>
      <w:r w:rsidRPr="000C529D">
        <w:rPr>
          <w:rFonts w:asciiTheme="minorHAnsi" w:eastAsiaTheme="majorEastAsia" w:hAnsiTheme="minorHAnsi" w:cstheme="majorBidi"/>
          <w:b/>
          <w:bCs/>
          <w:kern w:val="32"/>
          <w:szCs w:val="22"/>
        </w:rPr>
        <w:tab/>
      </w:r>
    </w:p>
    <w:p w14:paraId="3FFD7F08" w14:textId="77777777" w:rsidR="003E1595" w:rsidRPr="00987E8C" w:rsidRDefault="003E1595" w:rsidP="003E1595">
      <w:pPr>
        <w:spacing w:after="120" w:line="276" w:lineRule="auto"/>
        <w:jc w:val="both"/>
        <w:rPr>
          <w:rFonts w:ascii="Calibri" w:eastAsia="Calibri" w:hAnsi="Calibri" w:cs="Arial"/>
          <w:szCs w:val="22"/>
        </w:rPr>
      </w:pPr>
    </w:p>
    <w:p w14:paraId="7AFF2ED8" w14:textId="77777777" w:rsidR="003E1595" w:rsidRPr="00987E8C" w:rsidRDefault="003E1595" w:rsidP="003E1595">
      <w:pPr>
        <w:shd w:val="clear" w:color="auto" w:fill="FBE4D5" w:themeFill="accent2" w:themeFillTint="33"/>
        <w:spacing w:after="120" w:line="276" w:lineRule="auto"/>
        <w:jc w:val="both"/>
        <w:rPr>
          <w:rFonts w:ascii="Calibri" w:eastAsia="Calibri" w:hAnsi="Calibri" w:cs="Arial"/>
          <w:b/>
          <w:bCs/>
          <w:szCs w:val="22"/>
        </w:rPr>
      </w:pPr>
      <w:r w:rsidRPr="00987E8C">
        <w:rPr>
          <w:rFonts w:ascii="Calibri" w:eastAsia="Calibri" w:hAnsi="Calibri" w:cs="Arial"/>
          <w:b/>
          <w:bCs/>
          <w:szCs w:val="22"/>
        </w:rPr>
        <w:t>Funding Target:</w:t>
      </w:r>
    </w:p>
    <w:p w14:paraId="2AB5059D" w14:textId="414CBB26" w:rsidR="003E1595" w:rsidRDefault="003E1595" w:rsidP="003E1595">
      <w:pPr>
        <w:spacing w:after="300" w:line="276" w:lineRule="auto"/>
        <w:jc w:val="both"/>
        <w:rPr>
          <w:rFonts w:ascii="Calibri" w:eastAsia="Calibri" w:hAnsi="Calibri" w:cs="Arial"/>
          <w:szCs w:val="22"/>
        </w:rPr>
      </w:pPr>
      <w:r w:rsidRPr="00987E8C">
        <w:rPr>
          <w:rFonts w:ascii="Calibri" w:eastAsia="Calibri" w:hAnsi="Calibri" w:cs="Arial"/>
          <w:szCs w:val="22"/>
        </w:rPr>
        <w:t xml:space="preserve">The NGO Platform budget over three years of the project </w:t>
      </w:r>
      <w:r>
        <w:rPr>
          <w:rFonts w:ascii="Calibri" w:eastAsia="Calibri" w:hAnsi="Calibri" w:cs="Arial"/>
          <w:szCs w:val="22"/>
        </w:rPr>
        <w:t>is</w:t>
      </w:r>
      <w:r w:rsidRPr="00987E8C">
        <w:rPr>
          <w:rFonts w:ascii="Calibri" w:eastAsia="Calibri" w:hAnsi="Calibri" w:cs="Arial"/>
          <w:szCs w:val="22"/>
        </w:rPr>
        <w:t xml:space="preserve"> estimated at</w:t>
      </w:r>
      <w:r w:rsidRPr="00A1117B">
        <w:rPr>
          <w:rFonts w:ascii="Calibri" w:eastAsia="Calibri" w:hAnsi="Calibri" w:cs="Arial"/>
          <w:b/>
          <w:bCs/>
          <w:szCs w:val="22"/>
        </w:rPr>
        <w:t xml:space="preserve"> US$ </w:t>
      </w:r>
      <w:r w:rsidR="00165DEA" w:rsidRPr="00165DEA">
        <w:rPr>
          <w:rFonts w:ascii="Calibri" w:eastAsia="Calibri" w:hAnsi="Calibri" w:cs="Arial"/>
          <w:b/>
          <w:bCs/>
          <w:szCs w:val="22"/>
        </w:rPr>
        <w:t>338.104</w:t>
      </w:r>
      <w:r w:rsidRPr="00165DEA">
        <w:rPr>
          <w:rFonts w:ascii="Calibri" w:eastAsia="Calibri" w:hAnsi="Calibri" w:cs="Arial"/>
          <w:bCs/>
          <w:szCs w:val="22"/>
        </w:rPr>
        <w:t>.</w:t>
      </w:r>
      <w:r w:rsidRPr="00987E8C">
        <w:rPr>
          <w:rFonts w:ascii="Calibri" w:eastAsia="Calibri" w:hAnsi="Calibri" w:cs="Arial"/>
          <w:szCs w:val="22"/>
        </w:rPr>
        <w:t xml:space="preserve"> This proposal focuses on covering</w:t>
      </w:r>
      <w:r w:rsidRPr="00987E8C">
        <w:rPr>
          <w:rFonts w:ascii="Calibri" w:eastAsia="Calibri" w:hAnsi="Calibri" w:cs="Arial"/>
        </w:rPr>
        <w:t xml:space="preserve"> </w:t>
      </w:r>
      <w:r>
        <w:rPr>
          <w:rFonts w:ascii="Calibri" w:eastAsia="Calibri" w:hAnsi="Calibri" w:cs="Arial"/>
          <w:szCs w:val="22"/>
        </w:rPr>
        <w:t>the costs</w:t>
      </w:r>
      <w:r w:rsidRPr="00987E8C">
        <w:rPr>
          <w:rFonts w:ascii="Calibri" w:eastAsia="Calibri" w:hAnsi="Calibri" w:cs="Arial"/>
        </w:rPr>
        <w:t xml:space="preserve"> </w:t>
      </w:r>
      <w:r w:rsidRPr="00987E8C">
        <w:rPr>
          <w:rFonts w:ascii="Calibri" w:eastAsia="Calibri" w:hAnsi="Calibri" w:cs="Arial"/>
          <w:szCs w:val="22"/>
        </w:rPr>
        <w:t>associated</w:t>
      </w:r>
      <w:r w:rsidRPr="00987E8C">
        <w:rPr>
          <w:rFonts w:ascii="Calibri" w:eastAsia="Calibri" w:hAnsi="Calibri" w:cs="Arial"/>
          <w:sz w:val="18"/>
          <w:szCs w:val="18"/>
        </w:rPr>
        <w:t xml:space="preserve"> </w:t>
      </w:r>
      <w:r w:rsidRPr="00987E8C">
        <w:rPr>
          <w:rFonts w:ascii="Calibri" w:eastAsia="Calibri" w:hAnsi="Calibri" w:cs="Arial"/>
          <w:szCs w:val="22"/>
        </w:rPr>
        <w:t>with</w:t>
      </w:r>
      <w:r w:rsidRPr="00987E8C">
        <w:rPr>
          <w:rFonts w:ascii="Calibri" w:eastAsia="Calibri" w:hAnsi="Calibri" w:cs="Arial"/>
          <w:sz w:val="18"/>
          <w:szCs w:val="18"/>
        </w:rPr>
        <w:t xml:space="preserve"> </w:t>
      </w:r>
      <w:r w:rsidRPr="00987E8C">
        <w:rPr>
          <w:rFonts w:ascii="Calibri" w:eastAsia="Calibri" w:hAnsi="Calibri" w:cs="Arial"/>
          <w:szCs w:val="22"/>
        </w:rPr>
        <w:t>implementing</w:t>
      </w:r>
      <w:r w:rsidRPr="00987E8C">
        <w:rPr>
          <w:rFonts w:ascii="Calibri" w:eastAsia="Calibri" w:hAnsi="Calibri" w:cs="Arial"/>
          <w:sz w:val="18"/>
          <w:szCs w:val="18"/>
        </w:rPr>
        <w:t xml:space="preserve"> </w:t>
      </w:r>
      <w:r w:rsidRPr="00987E8C">
        <w:rPr>
          <w:rFonts w:ascii="Calibri" w:eastAsia="Calibri" w:hAnsi="Calibri" w:cs="Arial"/>
          <w:szCs w:val="22"/>
        </w:rPr>
        <w:t>the</w:t>
      </w:r>
      <w:r w:rsidRPr="00987E8C">
        <w:rPr>
          <w:rFonts w:ascii="Calibri" w:eastAsia="Calibri" w:hAnsi="Calibri" w:cs="Arial"/>
          <w:sz w:val="18"/>
          <w:szCs w:val="18"/>
        </w:rPr>
        <w:t xml:space="preserve"> </w:t>
      </w:r>
      <w:r w:rsidRPr="00987E8C">
        <w:rPr>
          <w:rFonts w:ascii="Calibri" w:eastAsia="Calibri" w:hAnsi="Calibri" w:cs="Arial"/>
          <w:szCs w:val="22"/>
        </w:rPr>
        <w:t>NGO</w:t>
      </w:r>
      <w:r w:rsidRPr="00987E8C">
        <w:rPr>
          <w:rFonts w:ascii="Calibri" w:eastAsia="Calibri" w:hAnsi="Calibri" w:cs="Arial"/>
          <w:sz w:val="18"/>
          <w:szCs w:val="18"/>
        </w:rPr>
        <w:t xml:space="preserve"> </w:t>
      </w:r>
      <w:r w:rsidRPr="00987E8C">
        <w:rPr>
          <w:rFonts w:ascii="Calibri" w:eastAsia="Calibri" w:hAnsi="Calibri" w:cs="Arial"/>
          <w:szCs w:val="22"/>
        </w:rPr>
        <w:t>Platform</w:t>
      </w:r>
      <w:r>
        <w:rPr>
          <w:rFonts w:ascii="Calibri" w:eastAsia="Calibri" w:hAnsi="Calibri" w:cs="Arial"/>
          <w:szCs w:val="22"/>
        </w:rPr>
        <w:t>/consortium</w:t>
      </w:r>
      <w:r>
        <w:rPr>
          <w:rFonts w:ascii="Calibri" w:eastAsia="Calibri" w:hAnsi="Calibri" w:cs="Arial"/>
          <w:sz w:val="18"/>
          <w:szCs w:val="18"/>
        </w:rPr>
        <w:t xml:space="preserve"> </w:t>
      </w:r>
      <w:r w:rsidRPr="00987E8C">
        <w:rPr>
          <w:rFonts w:ascii="Calibri" w:eastAsia="Calibri" w:hAnsi="Calibri" w:cs="Arial"/>
          <w:szCs w:val="22"/>
        </w:rPr>
        <w:t>and</w:t>
      </w:r>
      <w:r w:rsidRPr="00987E8C">
        <w:rPr>
          <w:rFonts w:ascii="Calibri" w:eastAsia="Calibri" w:hAnsi="Calibri" w:cs="Arial"/>
        </w:rPr>
        <w:t xml:space="preserve"> </w:t>
      </w:r>
      <w:r w:rsidRPr="00987E8C">
        <w:rPr>
          <w:rFonts w:ascii="Calibri" w:eastAsia="Calibri" w:hAnsi="Calibri" w:cs="Arial"/>
          <w:szCs w:val="22"/>
        </w:rPr>
        <w:t>undertaking related civil society engagement and capacity development ac</w:t>
      </w:r>
      <w:r>
        <w:rPr>
          <w:rFonts w:ascii="Calibri" w:eastAsia="Calibri" w:hAnsi="Calibri" w:cs="Arial"/>
          <w:szCs w:val="22"/>
        </w:rPr>
        <w:t xml:space="preserve">tivities </w:t>
      </w:r>
      <w:r w:rsidR="00165DEA">
        <w:rPr>
          <w:rFonts w:ascii="Calibri" w:eastAsia="Calibri" w:hAnsi="Calibri" w:cs="Arial"/>
          <w:szCs w:val="22"/>
        </w:rPr>
        <w:t>during financial years 2017-2019</w:t>
      </w:r>
      <w:r>
        <w:rPr>
          <w:rFonts w:ascii="Calibri" w:eastAsia="Calibri" w:hAnsi="Calibri" w:cs="Arial"/>
          <w:szCs w:val="22"/>
        </w:rPr>
        <w:t xml:space="preserve">. Funds to implement PVE activities will be invested mostly through the Community Stability Grant Mechanism.   </w:t>
      </w:r>
      <w:r w:rsidRPr="00987E8C">
        <w:rPr>
          <w:rFonts w:ascii="Calibri" w:eastAsia="Calibri" w:hAnsi="Calibri" w:cs="Arial"/>
          <w:szCs w:val="22"/>
        </w:rPr>
        <w:t xml:space="preserve"> </w:t>
      </w:r>
    </w:p>
    <w:p w14:paraId="7DA5164C" w14:textId="77777777" w:rsidR="003E1595" w:rsidRDefault="003E1595" w:rsidP="003E1595">
      <w:pPr>
        <w:spacing w:after="300" w:line="276" w:lineRule="auto"/>
        <w:jc w:val="both"/>
        <w:rPr>
          <w:rFonts w:ascii="Calibri" w:eastAsia="Calibri" w:hAnsi="Calibri" w:cs="Arial"/>
          <w:szCs w:val="22"/>
        </w:rPr>
      </w:pPr>
      <w:r w:rsidRPr="00D173F3">
        <w:rPr>
          <w:rFonts w:ascii="Calibri" w:eastAsia="Calibri" w:hAnsi="Calibri" w:cs="Arial"/>
          <w:b/>
          <w:bCs/>
          <w:szCs w:val="22"/>
        </w:rPr>
        <w:t xml:space="preserve">Available funding and resource mobilisation plan: </w:t>
      </w:r>
      <w:r>
        <w:rPr>
          <w:rFonts w:ascii="Calibri" w:eastAsia="Calibri" w:hAnsi="Calibri" w:cs="Arial"/>
          <w:szCs w:val="22"/>
        </w:rPr>
        <w:t xml:space="preserve">given that PVE is need for a rapid response approach in Jordan, UNDP dedicated seed funding to start up the project and initiate preliminary activities in relation to project management, consultations with relevant NGOs and CBOs, setting up the regulatory foundation and formworks of the NGOs Platform/Consortium, as well as implementation of specific key capacity building and training themes in preparation to the creation of the Platform. In parallel, UNDP will work with international partners to secure the remaining budget required for implementing activities at the national and regional level in Jordan vis-à-vis the recommendations of the OVE national strategy and where NGOs are a must implementing partners through the Platform. </w:t>
      </w:r>
    </w:p>
    <w:p w14:paraId="41555FA4" w14:textId="77777777" w:rsidR="003E1595" w:rsidRPr="000C7F3D" w:rsidRDefault="003E1595" w:rsidP="003E1595">
      <w:pPr>
        <w:spacing w:after="300" w:line="276" w:lineRule="auto"/>
        <w:jc w:val="both"/>
        <w:rPr>
          <w:rFonts w:ascii="Calibri" w:eastAsia="Calibri" w:hAnsi="Calibri" w:cs="Arial"/>
          <w:szCs w:val="22"/>
        </w:rPr>
      </w:pPr>
      <w:r>
        <w:rPr>
          <w:rFonts w:ascii="Calibri" w:eastAsia="Calibri" w:hAnsi="Calibri" w:cs="Arial"/>
          <w:szCs w:val="22"/>
        </w:rPr>
        <w:t xml:space="preserve">Ongoing efforts to mobilise resources for this project proposals are directed in support to have the NGOs Platform as a national solid entity to implement and lead on prevention of violent extremism in Jordan and in line with Jordan’s National PVE strategy. Efforts are coordinated, in addition to the Government of Netherlands, with the Governments of Canada, France, Norway and Japan.    </w:t>
      </w:r>
    </w:p>
    <w:p w14:paraId="0342DE24" w14:textId="77777777" w:rsidR="003E1595" w:rsidRPr="00AB47D6" w:rsidRDefault="003E1595" w:rsidP="003E1595">
      <w:pPr>
        <w:jc w:val="both"/>
        <w:rPr>
          <w:rFonts w:asciiTheme="minorHAnsi" w:eastAsia="Calibri" w:hAnsiTheme="minorHAnsi" w:cstheme="majorBidi"/>
          <w:b/>
          <w:color w:val="000000" w:themeColor="text1"/>
          <w:szCs w:val="22"/>
        </w:rPr>
      </w:pPr>
      <w:r w:rsidRPr="00AB47D6">
        <w:rPr>
          <w:rFonts w:asciiTheme="minorHAnsi" w:eastAsia="Calibri" w:hAnsiTheme="minorHAnsi" w:cstheme="majorBidi"/>
          <w:b/>
          <w:color w:val="000000" w:themeColor="text1"/>
          <w:szCs w:val="22"/>
        </w:rPr>
        <w:t xml:space="preserve">Monitoring Framework </w:t>
      </w:r>
      <w:r>
        <w:rPr>
          <w:rFonts w:asciiTheme="minorHAnsi" w:eastAsia="Calibri" w:hAnsiTheme="minorHAnsi" w:cstheme="majorBidi"/>
          <w:b/>
          <w:color w:val="000000" w:themeColor="text1"/>
          <w:szCs w:val="22"/>
        </w:rPr>
        <w:t>&amp;</w:t>
      </w:r>
      <w:r w:rsidRPr="00AB47D6">
        <w:rPr>
          <w:rFonts w:asciiTheme="minorHAnsi" w:eastAsia="Calibri" w:hAnsiTheme="minorHAnsi" w:cstheme="majorBidi"/>
          <w:b/>
          <w:color w:val="000000" w:themeColor="text1"/>
          <w:szCs w:val="22"/>
        </w:rPr>
        <w:t xml:space="preserve"> Evaluation</w:t>
      </w:r>
    </w:p>
    <w:p w14:paraId="3750AA19" w14:textId="77777777" w:rsidR="003E1595" w:rsidRDefault="003E1595" w:rsidP="003E1595">
      <w:pPr>
        <w:jc w:val="both"/>
        <w:rPr>
          <w:rFonts w:asciiTheme="minorHAnsi" w:eastAsia="Calibri" w:hAnsiTheme="minorHAnsi" w:cstheme="majorBidi"/>
          <w:color w:val="000000" w:themeColor="text1"/>
          <w:szCs w:val="22"/>
        </w:rPr>
      </w:pPr>
    </w:p>
    <w:p w14:paraId="2C9A6291" w14:textId="77777777" w:rsidR="003E1595" w:rsidRPr="00AB47D6" w:rsidRDefault="003E1595" w:rsidP="003E1595">
      <w:pPr>
        <w:spacing w:line="360" w:lineRule="auto"/>
        <w:jc w:val="both"/>
        <w:rPr>
          <w:rFonts w:ascii="Calibri" w:eastAsia="Calibri" w:hAnsi="Calibri" w:cs="Arial"/>
          <w:szCs w:val="22"/>
        </w:rPr>
      </w:pPr>
      <w:r w:rsidRPr="00AB47D6">
        <w:rPr>
          <w:rFonts w:ascii="Calibri" w:eastAsia="Calibri" w:hAnsi="Calibri" w:cs="Arial"/>
          <w:szCs w:val="22"/>
        </w:rPr>
        <w:t xml:space="preserve">The project management unit will be responsible for delivering the outputs of the project, implementation, input management and sound administrative management. </w:t>
      </w:r>
    </w:p>
    <w:p w14:paraId="39C42B38" w14:textId="77777777" w:rsidR="003E1595" w:rsidRPr="00AB47D6" w:rsidRDefault="003E1595" w:rsidP="003E1595">
      <w:pPr>
        <w:spacing w:line="360" w:lineRule="auto"/>
        <w:jc w:val="both"/>
        <w:rPr>
          <w:rFonts w:ascii="Calibri" w:eastAsia="Calibri" w:hAnsi="Calibri" w:cs="Arial"/>
          <w:szCs w:val="22"/>
        </w:rPr>
      </w:pPr>
      <w:r w:rsidRPr="00AB47D6">
        <w:rPr>
          <w:rFonts w:ascii="Calibri" w:eastAsia="Calibri" w:hAnsi="Calibri" w:cs="Arial"/>
          <w:szCs w:val="22"/>
        </w:rPr>
        <w:t>In accordance with the programming policies and procedures outlined in the UNDP User Guide, the project will be monitored through the following:</w:t>
      </w:r>
    </w:p>
    <w:p w14:paraId="35BAD551" w14:textId="77777777" w:rsidR="003E1595" w:rsidRPr="00AB47D6" w:rsidRDefault="003E1595" w:rsidP="003E1595">
      <w:pPr>
        <w:spacing w:line="360" w:lineRule="auto"/>
        <w:jc w:val="both"/>
        <w:rPr>
          <w:rFonts w:ascii="Calibri" w:eastAsia="Calibri" w:hAnsi="Calibri" w:cs="Arial"/>
          <w:szCs w:val="22"/>
        </w:rPr>
      </w:pPr>
      <w:r w:rsidRPr="00AB47D6">
        <w:rPr>
          <w:rFonts w:ascii="Calibri" w:eastAsia="Calibri" w:hAnsi="Calibri" w:cs="Arial"/>
          <w:szCs w:val="22"/>
        </w:rPr>
        <w:t xml:space="preserve">Within the annual cycle </w:t>
      </w:r>
    </w:p>
    <w:p w14:paraId="5B965353" w14:textId="77777777" w:rsidR="003E1595" w:rsidRPr="00AB47D6" w:rsidRDefault="003E1595" w:rsidP="003E1595">
      <w:pPr>
        <w:numPr>
          <w:ilvl w:val="0"/>
          <w:numId w:val="28"/>
        </w:numPr>
        <w:spacing w:after="0" w:line="360" w:lineRule="auto"/>
        <w:jc w:val="both"/>
        <w:rPr>
          <w:rFonts w:ascii="Calibri" w:eastAsia="Calibri" w:hAnsi="Calibri" w:cs="Arial"/>
          <w:szCs w:val="22"/>
        </w:rPr>
      </w:pPr>
      <w:r w:rsidRPr="00AB47D6">
        <w:rPr>
          <w:rFonts w:ascii="Calibri" w:eastAsia="Calibri" w:hAnsi="Calibri" w:cs="Arial"/>
          <w:szCs w:val="22"/>
        </w:rPr>
        <w:t>On a quarterly basis, a quality assessment shall record progress towards the completion of key results, based on quality criteria and methods captured in the Quality Management table below.</w:t>
      </w:r>
    </w:p>
    <w:p w14:paraId="31077B42" w14:textId="77777777" w:rsidR="003E1595" w:rsidRPr="00AB47D6" w:rsidRDefault="003E1595" w:rsidP="003E1595">
      <w:pPr>
        <w:numPr>
          <w:ilvl w:val="0"/>
          <w:numId w:val="28"/>
        </w:numPr>
        <w:spacing w:after="0" w:line="360" w:lineRule="auto"/>
        <w:jc w:val="both"/>
        <w:rPr>
          <w:rFonts w:ascii="Calibri" w:eastAsia="Calibri" w:hAnsi="Calibri" w:cs="Arial"/>
          <w:szCs w:val="22"/>
        </w:rPr>
      </w:pPr>
      <w:r w:rsidRPr="00AB47D6">
        <w:rPr>
          <w:rFonts w:ascii="Calibri" w:eastAsia="Calibri" w:hAnsi="Calibri" w:cs="Arial"/>
          <w:szCs w:val="22"/>
        </w:rPr>
        <w:t xml:space="preserve">An Issue Log shall be activated in Atlas and updated by the Project Manager to facilitate tracking and resolution of potential problems or requests for change. </w:t>
      </w:r>
    </w:p>
    <w:p w14:paraId="0710603B" w14:textId="77777777" w:rsidR="003E1595" w:rsidRPr="00AB47D6" w:rsidRDefault="003E1595" w:rsidP="003E1595">
      <w:pPr>
        <w:numPr>
          <w:ilvl w:val="0"/>
          <w:numId w:val="28"/>
        </w:numPr>
        <w:spacing w:after="0" w:line="360" w:lineRule="auto"/>
        <w:jc w:val="both"/>
        <w:rPr>
          <w:rFonts w:ascii="Calibri" w:eastAsia="Calibri" w:hAnsi="Calibri" w:cs="Arial"/>
          <w:szCs w:val="22"/>
        </w:rPr>
      </w:pPr>
      <w:r w:rsidRPr="00AB47D6">
        <w:rPr>
          <w:rFonts w:ascii="Calibri" w:eastAsia="Calibri" w:hAnsi="Calibri" w:cs="Arial"/>
          <w:szCs w:val="22"/>
        </w:rPr>
        <w:lastRenderedPageBreak/>
        <w:t>Based on the initial risk analysis, a risk log shall be activated in Atlas and regularly updated by reviewing the external environment that may affect the project implementation.</w:t>
      </w:r>
    </w:p>
    <w:p w14:paraId="1A487554" w14:textId="77777777" w:rsidR="003E1595" w:rsidRPr="00AB47D6" w:rsidRDefault="003E1595" w:rsidP="003E1595">
      <w:pPr>
        <w:numPr>
          <w:ilvl w:val="0"/>
          <w:numId w:val="28"/>
        </w:numPr>
        <w:spacing w:after="0" w:line="360" w:lineRule="auto"/>
        <w:jc w:val="both"/>
        <w:rPr>
          <w:rFonts w:ascii="Calibri" w:eastAsia="Calibri" w:hAnsi="Calibri" w:cs="Arial"/>
          <w:szCs w:val="22"/>
        </w:rPr>
      </w:pPr>
      <w:r w:rsidRPr="00AB47D6">
        <w:rPr>
          <w:rFonts w:ascii="Calibri" w:eastAsia="Calibri" w:hAnsi="Calibri" w:cs="Arial"/>
          <w:szCs w:val="22"/>
        </w:rPr>
        <w:t>Based on the above information recorded in Atlas, a Quarterly Progress Reports (QPR) shall be submitted by the Project Manager to the Project Board through Project Assurance, using the standard report format available in the Executive Snapshot.</w:t>
      </w:r>
    </w:p>
    <w:p w14:paraId="68C9CC57" w14:textId="77777777" w:rsidR="003E1595" w:rsidRPr="00AB47D6" w:rsidRDefault="003E1595" w:rsidP="003E1595">
      <w:pPr>
        <w:numPr>
          <w:ilvl w:val="0"/>
          <w:numId w:val="27"/>
        </w:numPr>
        <w:spacing w:after="0" w:line="360" w:lineRule="auto"/>
        <w:jc w:val="both"/>
        <w:rPr>
          <w:rFonts w:ascii="Calibri" w:eastAsia="Calibri" w:hAnsi="Calibri" w:cs="Arial"/>
          <w:szCs w:val="22"/>
        </w:rPr>
      </w:pPr>
      <w:r w:rsidRPr="00AB47D6">
        <w:rPr>
          <w:rFonts w:ascii="Calibri" w:eastAsia="Calibri" w:hAnsi="Calibri" w:cs="Arial"/>
          <w:szCs w:val="22"/>
        </w:rPr>
        <w:t>a project Lesson-learned log shall be activated and regularly updated to ensure on-going learning and adaptation within the organization, and to facilitate the preparation of the Lessons-learned Report at the end of the project</w:t>
      </w:r>
    </w:p>
    <w:p w14:paraId="20B1019F" w14:textId="77777777" w:rsidR="003E1595" w:rsidRPr="00AB47D6" w:rsidRDefault="003E1595" w:rsidP="003E1595">
      <w:pPr>
        <w:numPr>
          <w:ilvl w:val="0"/>
          <w:numId w:val="27"/>
        </w:numPr>
        <w:spacing w:after="0" w:line="360" w:lineRule="auto"/>
        <w:jc w:val="both"/>
        <w:rPr>
          <w:rFonts w:ascii="Calibri" w:eastAsia="Calibri" w:hAnsi="Calibri" w:cs="Arial"/>
          <w:szCs w:val="22"/>
        </w:rPr>
      </w:pPr>
      <w:r w:rsidRPr="00AB47D6">
        <w:rPr>
          <w:rFonts w:ascii="Calibri" w:eastAsia="Calibri" w:hAnsi="Calibri" w:cs="Arial"/>
          <w:szCs w:val="22"/>
        </w:rPr>
        <w:t>a Monitoring Schedule Plan shall be activated in Atlas and updated to track key management actions/events</w:t>
      </w:r>
    </w:p>
    <w:p w14:paraId="4197E656" w14:textId="77777777" w:rsidR="003E1595" w:rsidRPr="00AB47D6" w:rsidRDefault="003E1595" w:rsidP="003E1595">
      <w:pPr>
        <w:spacing w:line="360" w:lineRule="auto"/>
        <w:jc w:val="both"/>
        <w:rPr>
          <w:rFonts w:ascii="Calibri" w:eastAsia="Calibri" w:hAnsi="Calibri" w:cs="Arial"/>
          <w:szCs w:val="22"/>
        </w:rPr>
      </w:pPr>
      <w:r w:rsidRPr="00AB47D6">
        <w:rPr>
          <w:rFonts w:ascii="Calibri" w:eastAsia="Calibri" w:hAnsi="Calibri" w:cs="Arial"/>
          <w:szCs w:val="22"/>
        </w:rPr>
        <w:t>Annually</w:t>
      </w:r>
    </w:p>
    <w:p w14:paraId="7B6C4635" w14:textId="77777777" w:rsidR="003E1595" w:rsidRPr="00AB47D6" w:rsidRDefault="003E1595" w:rsidP="003E1595">
      <w:pPr>
        <w:numPr>
          <w:ilvl w:val="0"/>
          <w:numId w:val="29"/>
        </w:numPr>
        <w:spacing w:after="0" w:line="360" w:lineRule="auto"/>
        <w:jc w:val="both"/>
        <w:rPr>
          <w:rFonts w:ascii="Calibri" w:eastAsia="Calibri" w:hAnsi="Calibri" w:cs="Arial"/>
          <w:szCs w:val="22"/>
        </w:rPr>
      </w:pPr>
      <w:r w:rsidRPr="00AB47D6">
        <w:rPr>
          <w:rFonts w:ascii="Calibri" w:eastAsia="Calibri" w:hAnsi="Calibri" w:cs="Arial"/>
          <w:szCs w:val="22"/>
        </w:rPr>
        <w:t xml:space="preserve">Annual Review Report. An Annual Review Report shall be prepared by the Project Manager and shared with the Project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14:paraId="7BBBE807" w14:textId="4210B2EC" w:rsidR="00104FDC" w:rsidRPr="009A6FA6" w:rsidRDefault="003E1595" w:rsidP="009A6FA6">
      <w:pPr>
        <w:numPr>
          <w:ilvl w:val="0"/>
          <w:numId w:val="29"/>
        </w:numPr>
        <w:spacing w:after="0" w:line="360" w:lineRule="auto"/>
        <w:jc w:val="both"/>
        <w:rPr>
          <w:rFonts w:ascii="Calibri" w:eastAsia="Calibri" w:hAnsi="Calibri" w:cs="Arial"/>
          <w:szCs w:val="22"/>
        </w:rPr>
        <w:sectPr w:rsidR="00104FDC" w:rsidRPr="009A6FA6" w:rsidSect="00302288">
          <w:headerReference w:type="default" r:id="rId15"/>
          <w:footerReference w:type="even" r:id="rId16"/>
          <w:footerReference w:type="default" r:id="rId17"/>
          <w:headerReference w:type="first" r:id="rId18"/>
          <w:footerReference w:type="first" r:id="rId19"/>
          <w:pgSz w:w="11906" w:h="16838" w:code="9"/>
          <w:pgMar w:top="864" w:right="1152" w:bottom="864" w:left="1152" w:header="720" w:footer="432" w:gutter="0"/>
          <w:cols w:space="708"/>
          <w:titlePg/>
          <w:docGrid w:linePitch="360"/>
        </w:sectPr>
      </w:pPr>
      <w:r w:rsidRPr="00AB47D6">
        <w:rPr>
          <w:rFonts w:ascii="Calibri" w:eastAsia="Calibri" w:hAnsi="Calibri" w:cs="Arial"/>
          <w:szCs w:val="22"/>
        </w:rPr>
        <w:t xml:space="preserve">Annual Project Review.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14:paraId="32B96904" w14:textId="77777777" w:rsidR="00C301A8" w:rsidRDefault="00C301A8" w:rsidP="00A6671C">
      <w:pPr>
        <w:rPr>
          <w:rFonts w:ascii="Helvetica" w:hAnsi="Helvetica" w:cstheme="minorHAnsi"/>
          <w:sz w:val="20"/>
          <w:szCs w:val="20"/>
        </w:rPr>
      </w:pPr>
    </w:p>
    <w:p w14:paraId="0DFE7DFF" w14:textId="77777777" w:rsidR="00C301A8" w:rsidRDefault="00C301A8" w:rsidP="00A6671C">
      <w:pPr>
        <w:rPr>
          <w:rFonts w:ascii="Helvetica" w:hAnsi="Helvetica" w:cstheme="minorHAnsi"/>
          <w:sz w:val="20"/>
          <w:szCs w:val="20"/>
        </w:rPr>
      </w:pPr>
    </w:p>
    <w:p w14:paraId="06114E92" w14:textId="77777777" w:rsidR="005C42B2" w:rsidRDefault="005C42B2" w:rsidP="00A6671C">
      <w:pPr>
        <w:rPr>
          <w:rFonts w:ascii="Helvetica" w:hAnsi="Helvetica" w:cstheme="minorHAnsi"/>
          <w:sz w:val="20"/>
          <w:szCs w:val="20"/>
        </w:rPr>
      </w:pPr>
    </w:p>
    <w:p w14:paraId="18CC483C" w14:textId="77777777" w:rsidR="005C42B2" w:rsidRPr="001B57C5" w:rsidRDefault="005C42B2" w:rsidP="005C42B2">
      <w:pPr>
        <w:pStyle w:val="berschrift1"/>
        <w:spacing w:after="120"/>
      </w:pPr>
      <w:bookmarkStart w:id="1" w:name="_Toc397861449"/>
      <w:r w:rsidRPr="001B57C5">
        <w:t>Work Plan</w:t>
      </w:r>
      <w:bookmarkEnd w:id="1"/>
      <w:r w:rsidRPr="001B57C5">
        <w:t xml:space="preserve"> </w:t>
      </w:r>
    </w:p>
    <w:tbl>
      <w:tblPr>
        <w:tblW w:w="14762" w:type="dxa"/>
        <w:tblInd w:w="108" w:type="dxa"/>
        <w:tblLook w:val="04A0" w:firstRow="1" w:lastRow="0" w:firstColumn="1" w:lastColumn="0" w:noHBand="0" w:noVBand="1"/>
      </w:tblPr>
      <w:tblGrid>
        <w:gridCol w:w="2430"/>
        <w:gridCol w:w="2274"/>
        <w:gridCol w:w="1233"/>
        <w:gridCol w:w="1235"/>
        <w:gridCol w:w="1719"/>
        <w:gridCol w:w="1934"/>
        <w:gridCol w:w="2549"/>
        <w:gridCol w:w="1388"/>
      </w:tblGrid>
      <w:tr w:rsidR="00165DEA" w:rsidRPr="00D50AC5" w14:paraId="74B6353F" w14:textId="77777777" w:rsidTr="009A6FA6">
        <w:trPr>
          <w:cantSplit/>
          <w:trHeight w:val="605"/>
        </w:trPr>
        <w:tc>
          <w:tcPr>
            <w:tcW w:w="243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12C3D922" w14:textId="77777777" w:rsidR="00165DEA" w:rsidRPr="00D50AC5" w:rsidRDefault="00165DEA" w:rsidP="009E6608">
            <w:pPr>
              <w:spacing w:after="0"/>
              <w:jc w:val="center"/>
              <w:rPr>
                <w:rFonts w:cs="Arial"/>
                <w:b/>
                <w:bCs/>
                <w:color w:val="000000"/>
                <w:sz w:val="16"/>
                <w:szCs w:val="16"/>
                <w:lang w:eastAsia="en-GB"/>
              </w:rPr>
            </w:pPr>
            <w:r w:rsidRPr="00D50AC5">
              <w:rPr>
                <w:rFonts w:cs="Calibri"/>
                <w:b/>
                <w:bCs/>
                <w:color w:val="000000"/>
                <w:sz w:val="16"/>
                <w:szCs w:val="16"/>
                <w:lang w:eastAsia="en-GB"/>
              </w:rPr>
              <w:t>EXPECTED  OUTPUTS</w:t>
            </w:r>
          </w:p>
        </w:tc>
        <w:tc>
          <w:tcPr>
            <w:tcW w:w="2274"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7E6DA159" w14:textId="77777777" w:rsidR="00165DEA" w:rsidRPr="00D50AC5" w:rsidRDefault="00165DEA" w:rsidP="009E6608">
            <w:pPr>
              <w:spacing w:after="0"/>
              <w:jc w:val="center"/>
              <w:rPr>
                <w:rFonts w:cs="Arial"/>
                <w:b/>
                <w:bCs/>
                <w:color w:val="000000"/>
                <w:sz w:val="16"/>
                <w:szCs w:val="16"/>
                <w:lang w:eastAsia="en-GB"/>
              </w:rPr>
            </w:pPr>
            <w:r w:rsidRPr="00D50AC5">
              <w:rPr>
                <w:rFonts w:cs="Calibri"/>
                <w:b/>
                <w:bCs/>
                <w:color w:val="000000"/>
                <w:sz w:val="16"/>
                <w:szCs w:val="16"/>
                <w:lang w:eastAsia="en-GB"/>
              </w:rPr>
              <w:t>PLANNED ACTIVITIES</w:t>
            </w:r>
          </w:p>
        </w:tc>
        <w:tc>
          <w:tcPr>
            <w:tcW w:w="2468" w:type="dxa"/>
            <w:gridSpan w:val="2"/>
            <w:tcBorders>
              <w:top w:val="single" w:sz="8" w:space="0" w:color="auto"/>
              <w:left w:val="nil"/>
              <w:bottom w:val="single" w:sz="8" w:space="0" w:color="auto"/>
              <w:right w:val="single" w:sz="8" w:space="0" w:color="000000"/>
            </w:tcBorders>
            <w:shd w:val="clear" w:color="000000" w:fill="FFFF99"/>
            <w:vAlign w:val="center"/>
            <w:hideMark/>
          </w:tcPr>
          <w:p w14:paraId="4ED3D5C8" w14:textId="77777777" w:rsidR="00165DEA" w:rsidRPr="00D50AC5" w:rsidRDefault="00165DEA" w:rsidP="009E6608">
            <w:pPr>
              <w:spacing w:after="0"/>
              <w:jc w:val="center"/>
              <w:rPr>
                <w:rFonts w:cs="Arial"/>
                <w:b/>
                <w:bCs/>
                <w:color w:val="000000"/>
                <w:sz w:val="16"/>
                <w:szCs w:val="16"/>
                <w:lang w:eastAsia="en-GB"/>
              </w:rPr>
            </w:pPr>
            <w:r w:rsidRPr="00D50AC5">
              <w:rPr>
                <w:rFonts w:cs="Calibri"/>
                <w:b/>
                <w:bCs/>
                <w:color w:val="000000"/>
                <w:sz w:val="16"/>
                <w:szCs w:val="16"/>
                <w:lang w:eastAsia="en-GB"/>
              </w:rPr>
              <w:t>Planned Budget by Year</w:t>
            </w:r>
          </w:p>
        </w:tc>
        <w:tc>
          <w:tcPr>
            <w:tcW w:w="1719"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2FBD3CA3" w14:textId="77777777" w:rsidR="00165DEA" w:rsidRPr="00D50AC5" w:rsidRDefault="00165DEA" w:rsidP="009E6608">
            <w:pPr>
              <w:spacing w:after="0"/>
              <w:jc w:val="center"/>
              <w:rPr>
                <w:rFonts w:cs="Arial"/>
                <w:b/>
                <w:bCs/>
                <w:color w:val="000000"/>
                <w:sz w:val="16"/>
                <w:szCs w:val="16"/>
                <w:lang w:eastAsia="en-GB"/>
              </w:rPr>
            </w:pPr>
            <w:r w:rsidRPr="00D50AC5">
              <w:rPr>
                <w:rFonts w:cs="Calibri"/>
                <w:b/>
                <w:bCs/>
                <w:color w:val="000000"/>
                <w:sz w:val="16"/>
                <w:szCs w:val="16"/>
                <w:lang w:eastAsia="en-GB"/>
              </w:rPr>
              <w:t>RESPONSIBLE PARTY</w:t>
            </w:r>
          </w:p>
        </w:tc>
        <w:tc>
          <w:tcPr>
            <w:tcW w:w="5870" w:type="dxa"/>
            <w:gridSpan w:val="3"/>
            <w:tcBorders>
              <w:top w:val="single" w:sz="8" w:space="0" w:color="auto"/>
              <w:left w:val="nil"/>
              <w:bottom w:val="single" w:sz="8" w:space="0" w:color="auto"/>
              <w:right w:val="single" w:sz="8" w:space="0" w:color="000000"/>
            </w:tcBorders>
            <w:shd w:val="clear" w:color="000000" w:fill="FFFF99"/>
            <w:vAlign w:val="center"/>
            <w:hideMark/>
          </w:tcPr>
          <w:p w14:paraId="09CC1109" w14:textId="77777777" w:rsidR="00165DEA" w:rsidRPr="00D50AC5" w:rsidRDefault="00165DEA" w:rsidP="009E6608">
            <w:pPr>
              <w:spacing w:after="0"/>
              <w:jc w:val="center"/>
              <w:rPr>
                <w:rFonts w:cs="Arial"/>
                <w:b/>
                <w:bCs/>
                <w:color w:val="000000"/>
                <w:sz w:val="16"/>
                <w:szCs w:val="16"/>
                <w:lang w:eastAsia="en-GB"/>
              </w:rPr>
            </w:pPr>
            <w:r w:rsidRPr="00D50AC5">
              <w:rPr>
                <w:rFonts w:cs="Calibri"/>
                <w:b/>
                <w:bCs/>
                <w:color w:val="000000"/>
                <w:sz w:val="16"/>
                <w:szCs w:val="16"/>
                <w:lang w:eastAsia="en-GB"/>
              </w:rPr>
              <w:t>PLANNED BUDGET</w:t>
            </w:r>
          </w:p>
        </w:tc>
      </w:tr>
      <w:tr w:rsidR="009A6FA6" w:rsidRPr="00D50AC5" w14:paraId="6E3EE212" w14:textId="77777777" w:rsidTr="009A6FA6">
        <w:trPr>
          <w:trHeight w:val="826"/>
        </w:trPr>
        <w:tc>
          <w:tcPr>
            <w:tcW w:w="2430" w:type="dxa"/>
            <w:vMerge/>
            <w:tcBorders>
              <w:top w:val="single" w:sz="8" w:space="0" w:color="auto"/>
              <w:left w:val="single" w:sz="8" w:space="0" w:color="auto"/>
              <w:bottom w:val="single" w:sz="8" w:space="0" w:color="000000"/>
              <w:right w:val="single" w:sz="8" w:space="0" w:color="auto"/>
            </w:tcBorders>
            <w:vAlign w:val="center"/>
            <w:hideMark/>
          </w:tcPr>
          <w:p w14:paraId="0D25ADD2" w14:textId="77777777" w:rsidR="00165DEA" w:rsidRPr="00D50AC5" w:rsidRDefault="00165DEA" w:rsidP="009E6608">
            <w:pPr>
              <w:spacing w:after="0"/>
              <w:rPr>
                <w:rFonts w:cs="Arial"/>
                <w:b/>
                <w:bCs/>
                <w:color w:val="000000"/>
                <w:sz w:val="16"/>
                <w:szCs w:val="16"/>
                <w:lang w:eastAsia="en-GB"/>
              </w:rPr>
            </w:pPr>
          </w:p>
        </w:tc>
        <w:tc>
          <w:tcPr>
            <w:tcW w:w="2274" w:type="dxa"/>
            <w:vMerge/>
            <w:tcBorders>
              <w:top w:val="single" w:sz="8" w:space="0" w:color="auto"/>
              <w:left w:val="single" w:sz="8" w:space="0" w:color="auto"/>
              <w:bottom w:val="single" w:sz="8" w:space="0" w:color="000000"/>
              <w:right w:val="single" w:sz="8" w:space="0" w:color="auto"/>
            </w:tcBorders>
            <w:vAlign w:val="center"/>
            <w:hideMark/>
          </w:tcPr>
          <w:p w14:paraId="798A158C" w14:textId="77777777" w:rsidR="00165DEA" w:rsidRPr="00D50AC5" w:rsidRDefault="00165DEA" w:rsidP="009E6608">
            <w:pPr>
              <w:spacing w:after="0"/>
              <w:rPr>
                <w:rFonts w:cs="Arial"/>
                <w:b/>
                <w:bCs/>
                <w:color w:val="000000"/>
                <w:sz w:val="16"/>
                <w:szCs w:val="16"/>
                <w:lang w:eastAsia="en-GB"/>
              </w:rPr>
            </w:pPr>
          </w:p>
        </w:tc>
        <w:tc>
          <w:tcPr>
            <w:tcW w:w="1233" w:type="dxa"/>
            <w:tcBorders>
              <w:top w:val="nil"/>
              <w:left w:val="nil"/>
              <w:bottom w:val="single" w:sz="8" w:space="0" w:color="auto"/>
              <w:right w:val="single" w:sz="8" w:space="0" w:color="auto"/>
            </w:tcBorders>
            <w:shd w:val="clear" w:color="000000" w:fill="FFFF99"/>
            <w:vAlign w:val="center"/>
            <w:hideMark/>
          </w:tcPr>
          <w:p w14:paraId="416987E8"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Y1 (2018)</w:t>
            </w:r>
          </w:p>
        </w:tc>
        <w:tc>
          <w:tcPr>
            <w:tcW w:w="1235" w:type="dxa"/>
            <w:tcBorders>
              <w:top w:val="nil"/>
              <w:left w:val="nil"/>
              <w:bottom w:val="single" w:sz="8" w:space="0" w:color="auto"/>
              <w:right w:val="single" w:sz="8" w:space="0" w:color="auto"/>
            </w:tcBorders>
            <w:shd w:val="clear" w:color="000000" w:fill="FFFF99"/>
            <w:vAlign w:val="center"/>
            <w:hideMark/>
          </w:tcPr>
          <w:p w14:paraId="088FA66D"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Y2 (2019)</w:t>
            </w:r>
          </w:p>
        </w:tc>
        <w:tc>
          <w:tcPr>
            <w:tcW w:w="1719" w:type="dxa"/>
            <w:vMerge/>
            <w:tcBorders>
              <w:top w:val="single" w:sz="8" w:space="0" w:color="auto"/>
              <w:left w:val="single" w:sz="8" w:space="0" w:color="auto"/>
              <w:bottom w:val="single" w:sz="8" w:space="0" w:color="000000"/>
              <w:right w:val="single" w:sz="8" w:space="0" w:color="auto"/>
            </w:tcBorders>
            <w:vAlign w:val="center"/>
            <w:hideMark/>
          </w:tcPr>
          <w:p w14:paraId="09F06098" w14:textId="77777777" w:rsidR="00165DEA" w:rsidRPr="00D50AC5" w:rsidRDefault="00165DEA" w:rsidP="009E6608">
            <w:pPr>
              <w:spacing w:after="0"/>
              <w:rPr>
                <w:rFonts w:cs="Arial"/>
                <w:b/>
                <w:bCs/>
                <w:color w:val="000000"/>
                <w:sz w:val="16"/>
                <w:szCs w:val="16"/>
                <w:lang w:eastAsia="en-GB"/>
              </w:rPr>
            </w:pPr>
          </w:p>
        </w:tc>
        <w:tc>
          <w:tcPr>
            <w:tcW w:w="1934" w:type="dxa"/>
            <w:tcBorders>
              <w:top w:val="nil"/>
              <w:left w:val="nil"/>
              <w:bottom w:val="single" w:sz="8" w:space="0" w:color="auto"/>
              <w:right w:val="single" w:sz="8" w:space="0" w:color="auto"/>
            </w:tcBorders>
            <w:shd w:val="clear" w:color="000000" w:fill="FFFF99"/>
            <w:vAlign w:val="center"/>
            <w:hideMark/>
          </w:tcPr>
          <w:p w14:paraId="65B65526"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Funding Source</w:t>
            </w:r>
          </w:p>
        </w:tc>
        <w:tc>
          <w:tcPr>
            <w:tcW w:w="2547" w:type="dxa"/>
            <w:tcBorders>
              <w:top w:val="nil"/>
              <w:left w:val="nil"/>
              <w:bottom w:val="single" w:sz="8" w:space="0" w:color="auto"/>
              <w:right w:val="single" w:sz="8" w:space="0" w:color="auto"/>
            </w:tcBorders>
            <w:shd w:val="clear" w:color="000000" w:fill="FFFF99"/>
            <w:vAlign w:val="center"/>
            <w:hideMark/>
          </w:tcPr>
          <w:p w14:paraId="1EED79E9"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Budget Description</w:t>
            </w:r>
          </w:p>
        </w:tc>
        <w:tc>
          <w:tcPr>
            <w:tcW w:w="1388" w:type="dxa"/>
            <w:tcBorders>
              <w:top w:val="nil"/>
              <w:left w:val="nil"/>
              <w:bottom w:val="single" w:sz="8" w:space="0" w:color="auto"/>
              <w:right w:val="single" w:sz="8" w:space="0" w:color="auto"/>
            </w:tcBorders>
            <w:shd w:val="clear" w:color="000000" w:fill="FFFF99"/>
            <w:vAlign w:val="center"/>
            <w:hideMark/>
          </w:tcPr>
          <w:p w14:paraId="176A90BA"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Amount (USD)</w:t>
            </w:r>
          </w:p>
        </w:tc>
      </w:tr>
      <w:tr w:rsidR="009A6FA6" w:rsidRPr="00D50AC5" w14:paraId="04215C70" w14:textId="77777777" w:rsidTr="009A6FA6">
        <w:trPr>
          <w:trHeight w:val="757"/>
        </w:trPr>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7D73B6B6" w14:textId="77777777" w:rsidR="00165DEA" w:rsidRPr="00D50AC5" w:rsidRDefault="00165DEA" w:rsidP="009E6608">
            <w:pPr>
              <w:spacing w:after="0"/>
              <w:jc w:val="center"/>
              <w:rPr>
                <w:rFonts w:cs="Arial"/>
                <w:b/>
                <w:bCs/>
                <w:color w:val="000000"/>
                <w:sz w:val="16"/>
                <w:szCs w:val="16"/>
                <w:lang w:eastAsia="en-GB"/>
              </w:rPr>
            </w:pPr>
            <w:r w:rsidRPr="00D50AC5">
              <w:rPr>
                <w:rFonts w:cs="Arial"/>
                <w:b/>
                <w:bCs/>
                <w:color w:val="000000"/>
                <w:sz w:val="16"/>
                <w:szCs w:val="16"/>
                <w:lang w:eastAsia="en-GB"/>
              </w:rPr>
              <w:t>Output 1: Implementing a comprehensive capacity building training plan for civil society, especially CBOs, on core PVE areas and localised PVE interventions</w:t>
            </w:r>
          </w:p>
        </w:tc>
        <w:tc>
          <w:tcPr>
            <w:tcW w:w="2274" w:type="dxa"/>
            <w:tcBorders>
              <w:top w:val="nil"/>
              <w:left w:val="nil"/>
              <w:bottom w:val="nil"/>
              <w:right w:val="single" w:sz="8" w:space="0" w:color="auto"/>
            </w:tcBorders>
            <w:shd w:val="clear" w:color="auto" w:fill="auto"/>
            <w:vAlign w:val="center"/>
            <w:hideMark/>
          </w:tcPr>
          <w:p w14:paraId="5B354CCA" w14:textId="77777777" w:rsidR="00165DEA" w:rsidRPr="00D50AC5" w:rsidRDefault="00165DEA" w:rsidP="009E6608">
            <w:pPr>
              <w:spacing w:after="0"/>
              <w:rPr>
                <w:rFonts w:cs="Arial"/>
                <w:i/>
                <w:iCs/>
                <w:color w:val="000000"/>
                <w:sz w:val="16"/>
                <w:szCs w:val="16"/>
                <w:lang w:eastAsia="en-GB"/>
              </w:rPr>
            </w:pPr>
            <w:r w:rsidRPr="00D50AC5">
              <w:rPr>
                <w:rFonts w:cs="Arial"/>
                <w:i/>
                <w:iCs/>
                <w:color w:val="000000"/>
                <w:sz w:val="16"/>
                <w:szCs w:val="16"/>
                <w:lang w:eastAsia="en-GB"/>
              </w:rPr>
              <w:t>Activity 1.1 Conduct a training needs assessment on PVE capacity amongst CSO/CBOs and for key focus areas for PVE</w:t>
            </w:r>
          </w:p>
        </w:tc>
        <w:tc>
          <w:tcPr>
            <w:tcW w:w="1233" w:type="dxa"/>
            <w:tcBorders>
              <w:top w:val="nil"/>
              <w:left w:val="nil"/>
              <w:bottom w:val="nil"/>
              <w:right w:val="single" w:sz="8" w:space="0" w:color="auto"/>
            </w:tcBorders>
            <w:shd w:val="clear" w:color="auto" w:fill="auto"/>
            <w:vAlign w:val="center"/>
            <w:hideMark/>
          </w:tcPr>
          <w:p w14:paraId="26CFD825"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14.400 </w:t>
            </w:r>
          </w:p>
        </w:tc>
        <w:tc>
          <w:tcPr>
            <w:tcW w:w="1235" w:type="dxa"/>
            <w:tcBorders>
              <w:top w:val="nil"/>
              <w:left w:val="nil"/>
              <w:bottom w:val="nil"/>
              <w:right w:val="single" w:sz="8" w:space="0" w:color="auto"/>
            </w:tcBorders>
            <w:shd w:val="clear" w:color="auto" w:fill="auto"/>
            <w:vAlign w:val="center"/>
            <w:hideMark/>
          </w:tcPr>
          <w:p w14:paraId="0EA3D976"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w:t>
            </w:r>
          </w:p>
        </w:tc>
        <w:tc>
          <w:tcPr>
            <w:tcW w:w="1719" w:type="dxa"/>
            <w:tcBorders>
              <w:top w:val="nil"/>
              <w:left w:val="nil"/>
              <w:bottom w:val="nil"/>
              <w:right w:val="single" w:sz="8" w:space="0" w:color="auto"/>
            </w:tcBorders>
            <w:shd w:val="clear" w:color="auto" w:fill="auto"/>
            <w:vAlign w:val="center"/>
            <w:hideMark/>
          </w:tcPr>
          <w:p w14:paraId="3EDA4B6D"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UNDP</w:t>
            </w:r>
          </w:p>
        </w:tc>
        <w:tc>
          <w:tcPr>
            <w:tcW w:w="1934" w:type="dxa"/>
            <w:tcBorders>
              <w:top w:val="nil"/>
              <w:left w:val="nil"/>
              <w:bottom w:val="nil"/>
              <w:right w:val="single" w:sz="8" w:space="0" w:color="auto"/>
            </w:tcBorders>
            <w:shd w:val="clear" w:color="auto" w:fill="auto"/>
            <w:vAlign w:val="center"/>
            <w:hideMark/>
          </w:tcPr>
          <w:p w14:paraId="578C59FB"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Netherlands</w:t>
            </w:r>
          </w:p>
        </w:tc>
        <w:tc>
          <w:tcPr>
            <w:tcW w:w="2547" w:type="dxa"/>
            <w:tcBorders>
              <w:top w:val="nil"/>
              <w:left w:val="nil"/>
              <w:bottom w:val="single" w:sz="8" w:space="0" w:color="auto"/>
              <w:right w:val="single" w:sz="8" w:space="0" w:color="auto"/>
            </w:tcBorders>
            <w:shd w:val="clear" w:color="auto" w:fill="auto"/>
            <w:vAlign w:val="center"/>
            <w:hideMark/>
          </w:tcPr>
          <w:p w14:paraId="3E64D3AA" w14:textId="77777777" w:rsidR="00165DEA" w:rsidRPr="00D50AC5" w:rsidRDefault="00165DEA" w:rsidP="009E6608">
            <w:pPr>
              <w:spacing w:after="0"/>
              <w:rPr>
                <w:rFonts w:cs="Arial"/>
                <w:color w:val="000000"/>
                <w:sz w:val="16"/>
                <w:szCs w:val="16"/>
                <w:lang w:eastAsia="en-GB"/>
              </w:rPr>
            </w:pPr>
            <w:r>
              <w:rPr>
                <w:rFonts w:cs="Calibri"/>
                <w:color w:val="000000"/>
                <w:sz w:val="16"/>
                <w:szCs w:val="16"/>
                <w:lang w:eastAsia="en-GB"/>
              </w:rPr>
              <w:t>Consultancy c</w:t>
            </w:r>
            <w:r w:rsidRPr="00D50AC5">
              <w:rPr>
                <w:rFonts w:cs="Calibri"/>
                <w:color w:val="000000"/>
                <w:sz w:val="16"/>
                <w:szCs w:val="16"/>
                <w:lang w:eastAsia="en-GB"/>
              </w:rPr>
              <w:t>osts</w:t>
            </w:r>
          </w:p>
        </w:tc>
        <w:tc>
          <w:tcPr>
            <w:tcW w:w="1388" w:type="dxa"/>
            <w:tcBorders>
              <w:top w:val="nil"/>
              <w:left w:val="nil"/>
              <w:bottom w:val="nil"/>
              <w:right w:val="single" w:sz="8" w:space="0" w:color="auto"/>
            </w:tcBorders>
            <w:shd w:val="clear" w:color="auto" w:fill="auto"/>
            <w:vAlign w:val="center"/>
            <w:hideMark/>
          </w:tcPr>
          <w:p w14:paraId="3D1906A9"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14.400 </w:t>
            </w:r>
          </w:p>
        </w:tc>
      </w:tr>
      <w:tr w:rsidR="009A6FA6" w:rsidRPr="00D50AC5" w14:paraId="67C352E0" w14:textId="77777777" w:rsidTr="009A6FA6">
        <w:trPr>
          <w:trHeight w:val="631"/>
        </w:trPr>
        <w:tc>
          <w:tcPr>
            <w:tcW w:w="2430" w:type="dxa"/>
            <w:vMerge/>
            <w:tcBorders>
              <w:top w:val="nil"/>
              <w:left w:val="single" w:sz="8" w:space="0" w:color="auto"/>
              <w:bottom w:val="single" w:sz="8" w:space="0" w:color="000000"/>
              <w:right w:val="single" w:sz="8" w:space="0" w:color="auto"/>
            </w:tcBorders>
            <w:vAlign w:val="center"/>
            <w:hideMark/>
          </w:tcPr>
          <w:p w14:paraId="0EE3DC67" w14:textId="77777777" w:rsidR="00165DEA" w:rsidRPr="00D50AC5" w:rsidRDefault="00165DEA" w:rsidP="009E6608">
            <w:pPr>
              <w:spacing w:after="0"/>
              <w:rPr>
                <w:rFonts w:cs="Arial"/>
                <w:b/>
                <w:bCs/>
                <w:color w:val="000000"/>
                <w:sz w:val="16"/>
                <w:szCs w:val="16"/>
                <w:lang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568B193C" w14:textId="77777777" w:rsidR="00165DEA" w:rsidRPr="00D50AC5" w:rsidRDefault="00165DEA" w:rsidP="009E6608">
            <w:pPr>
              <w:spacing w:after="0"/>
              <w:rPr>
                <w:rFonts w:cs="Arial"/>
                <w:i/>
                <w:iCs/>
                <w:color w:val="000000"/>
                <w:sz w:val="16"/>
                <w:szCs w:val="16"/>
                <w:lang w:eastAsia="en-GB"/>
              </w:rPr>
            </w:pPr>
            <w:r w:rsidRPr="00D50AC5">
              <w:rPr>
                <w:rFonts w:cs="Arial"/>
                <w:i/>
                <w:iCs/>
                <w:color w:val="000000"/>
                <w:sz w:val="16"/>
                <w:szCs w:val="16"/>
                <w:lang w:eastAsia="en-GB"/>
              </w:rPr>
              <w:t>Activity 1.2: Recruitment of a core training team and providing core training of trainers (ToT) skills training on PVE</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14:paraId="3153E704"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25.000 </w:t>
            </w:r>
          </w:p>
        </w:tc>
        <w:tc>
          <w:tcPr>
            <w:tcW w:w="1235" w:type="dxa"/>
            <w:tcBorders>
              <w:top w:val="single" w:sz="8" w:space="0" w:color="auto"/>
              <w:left w:val="nil"/>
              <w:bottom w:val="single" w:sz="8" w:space="0" w:color="auto"/>
              <w:right w:val="single" w:sz="8" w:space="0" w:color="auto"/>
            </w:tcBorders>
            <w:shd w:val="clear" w:color="auto" w:fill="auto"/>
            <w:vAlign w:val="center"/>
            <w:hideMark/>
          </w:tcPr>
          <w:p w14:paraId="7AD26495" w14:textId="77777777" w:rsidR="00165DEA" w:rsidRPr="00D50AC5" w:rsidRDefault="00165DEA" w:rsidP="009E6608">
            <w:pPr>
              <w:spacing w:after="0"/>
              <w:jc w:val="center"/>
              <w:rPr>
                <w:rFonts w:cs="Arial"/>
                <w:color w:val="000000"/>
                <w:sz w:val="16"/>
                <w:szCs w:val="16"/>
                <w:lang w:eastAsia="en-GB"/>
              </w:rPr>
            </w:pPr>
            <w:r w:rsidRPr="00D50AC5">
              <w:rPr>
                <w:rFonts w:cs="Arial"/>
                <w:color w:val="000000"/>
                <w:sz w:val="16"/>
                <w:szCs w:val="16"/>
                <w:lang w:eastAsia="en-GB"/>
              </w:rPr>
              <w:t xml:space="preserve">               34.000 </w:t>
            </w:r>
          </w:p>
        </w:tc>
        <w:tc>
          <w:tcPr>
            <w:tcW w:w="1719" w:type="dxa"/>
            <w:tcBorders>
              <w:top w:val="single" w:sz="8" w:space="0" w:color="auto"/>
              <w:left w:val="nil"/>
              <w:bottom w:val="single" w:sz="8" w:space="0" w:color="auto"/>
              <w:right w:val="single" w:sz="8" w:space="0" w:color="auto"/>
            </w:tcBorders>
            <w:shd w:val="clear" w:color="auto" w:fill="auto"/>
            <w:vAlign w:val="center"/>
            <w:hideMark/>
          </w:tcPr>
          <w:p w14:paraId="7469AA0D"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UNDP</w:t>
            </w:r>
          </w:p>
        </w:tc>
        <w:tc>
          <w:tcPr>
            <w:tcW w:w="1934" w:type="dxa"/>
            <w:tcBorders>
              <w:top w:val="single" w:sz="8" w:space="0" w:color="auto"/>
              <w:left w:val="nil"/>
              <w:bottom w:val="single" w:sz="8" w:space="0" w:color="auto"/>
              <w:right w:val="single" w:sz="8" w:space="0" w:color="auto"/>
            </w:tcBorders>
            <w:shd w:val="clear" w:color="auto" w:fill="auto"/>
            <w:vAlign w:val="center"/>
            <w:hideMark/>
          </w:tcPr>
          <w:p w14:paraId="14ADB3BB"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Netherlands</w:t>
            </w:r>
          </w:p>
        </w:tc>
        <w:tc>
          <w:tcPr>
            <w:tcW w:w="2547" w:type="dxa"/>
            <w:tcBorders>
              <w:top w:val="nil"/>
              <w:left w:val="nil"/>
              <w:bottom w:val="single" w:sz="8" w:space="0" w:color="auto"/>
              <w:right w:val="single" w:sz="8" w:space="0" w:color="auto"/>
            </w:tcBorders>
            <w:shd w:val="clear" w:color="auto" w:fill="auto"/>
            <w:vAlign w:val="center"/>
            <w:hideMark/>
          </w:tcPr>
          <w:p w14:paraId="66D4BBE9" w14:textId="77777777" w:rsidR="00165DEA" w:rsidRPr="00D50AC5" w:rsidRDefault="00165DEA" w:rsidP="009E6608">
            <w:pPr>
              <w:spacing w:after="0"/>
              <w:rPr>
                <w:rFonts w:cs="Arial"/>
                <w:color w:val="000000"/>
                <w:sz w:val="16"/>
                <w:szCs w:val="16"/>
                <w:lang w:eastAsia="en-GB"/>
              </w:rPr>
            </w:pPr>
            <w:r>
              <w:rPr>
                <w:rFonts w:cs="Calibri"/>
                <w:color w:val="000000"/>
                <w:sz w:val="16"/>
                <w:szCs w:val="16"/>
                <w:lang w:eastAsia="en-GB"/>
              </w:rPr>
              <w:t>Staffing, venue, travel, and monitoring costs</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14:paraId="0A39D594"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59.000 </w:t>
            </w:r>
          </w:p>
        </w:tc>
      </w:tr>
      <w:tr w:rsidR="009A6FA6" w:rsidRPr="00D50AC5" w14:paraId="358FE57F" w14:textId="77777777" w:rsidTr="009A6FA6">
        <w:trPr>
          <w:trHeight w:val="529"/>
        </w:trPr>
        <w:tc>
          <w:tcPr>
            <w:tcW w:w="2430" w:type="dxa"/>
            <w:vMerge/>
            <w:tcBorders>
              <w:top w:val="nil"/>
              <w:left w:val="single" w:sz="8" w:space="0" w:color="auto"/>
              <w:bottom w:val="single" w:sz="8" w:space="0" w:color="000000"/>
              <w:right w:val="single" w:sz="8" w:space="0" w:color="auto"/>
            </w:tcBorders>
            <w:vAlign w:val="center"/>
            <w:hideMark/>
          </w:tcPr>
          <w:p w14:paraId="4B4F397C" w14:textId="77777777" w:rsidR="00165DEA" w:rsidRPr="00D50AC5" w:rsidRDefault="00165DEA" w:rsidP="009E6608">
            <w:pPr>
              <w:spacing w:after="0"/>
              <w:rPr>
                <w:rFonts w:cs="Arial"/>
                <w:b/>
                <w:bCs/>
                <w:color w:val="000000"/>
                <w:sz w:val="16"/>
                <w:szCs w:val="16"/>
                <w:lang w:eastAsia="en-GB"/>
              </w:rPr>
            </w:pPr>
          </w:p>
        </w:tc>
        <w:tc>
          <w:tcPr>
            <w:tcW w:w="2274" w:type="dxa"/>
            <w:tcBorders>
              <w:top w:val="nil"/>
              <w:left w:val="nil"/>
              <w:bottom w:val="single" w:sz="8" w:space="0" w:color="auto"/>
              <w:right w:val="single" w:sz="8" w:space="0" w:color="auto"/>
            </w:tcBorders>
            <w:shd w:val="clear" w:color="auto" w:fill="auto"/>
            <w:vAlign w:val="center"/>
            <w:hideMark/>
          </w:tcPr>
          <w:p w14:paraId="395D2948" w14:textId="77777777" w:rsidR="00165DEA" w:rsidRPr="00D50AC5" w:rsidRDefault="00165DEA" w:rsidP="009E6608">
            <w:pPr>
              <w:spacing w:after="0"/>
              <w:rPr>
                <w:rFonts w:cs="Arial"/>
                <w:i/>
                <w:iCs/>
                <w:color w:val="000000"/>
                <w:sz w:val="16"/>
                <w:szCs w:val="16"/>
                <w:lang w:eastAsia="en-GB"/>
              </w:rPr>
            </w:pPr>
            <w:r w:rsidRPr="00D50AC5">
              <w:rPr>
                <w:rFonts w:cs="Arial"/>
                <w:i/>
                <w:iCs/>
                <w:color w:val="000000"/>
                <w:sz w:val="16"/>
                <w:szCs w:val="16"/>
                <w:lang w:eastAsia="en-GB"/>
              </w:rPr>
              <w:t>Activity 2.3 Design of training plan and content for comprehensive capacity development programme</w:t>
            </w:r>
          </w:p>
        </w:tc>
        <w:tc>
          <w:tcPr>
            <w:tcW w:w="1233" w:type="dxa"/>
            <w:tcBorders>
              <w:top w:val="nil"/>
              <w:left w:val="nil"/>
              <w:bottom w:val="single" w:sz="8" w:space="0" w:color="auto"/>
              <w:right w:val="single" w:sz="8" w:space="0" w:color="auto"/>
            </w:tcBorders>
            <w:shd w:val="clear" w:color="auto" w:fill="auto"/>
            <w:vAlign w:val="center"/>
            <w:hideMark/>
          </w:tcPr>
          <w:p w14:paraId="460583D3"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25.000 </w:t>
            </w:r>
          </w:p>
        </w:tc>
        <w:tc>
          <w:tcPr>
            <w:tcW w:w="1235" w:type="dxa"/>
            <w:tcBorders>
              <w:top w:val="nil"/>
              <w:left w:val="nil"/>
              <w:bottom w:val="single" w:sz="8" w:space="0" w:color="auto"/>
              <w:right w:val="single" w:sz="8" w:space="0" w:color="auto"/>
            </w:tcBorders>
            <w:shd w:val="clear" w:color="auto" w:fill="auto"/>
            <w:vAlign w:val="center"/>
            <w:hideMark/>
          </w:tcPr>
          <w:p w14:paraId="5C9F193B"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34.000 </w:t>
            </w:r>
          </w:p>
        </w:tc>
        <w:tc>
          <w:tcPr>
            <w:tcW w:w="1719" w:type="dxa"/>
            <w:tcBorders>
              <w:top w:val="nil"/>
              <w:left w:val="nil"/>
              <w:bottom w:val="single" w:sz="8" w:space="0" w:color="auto"/>
              <w:right w:val="single" w:sz="8" w:space="0" w:color="auto"/>
            </w:tcBorders>
            <w:shd w:val="clear" w:color="auto" w:fill="auto"/>
            <w:vAlign w:val="center"/>
            <w:hideMark/>
          </w:tcPr>
          <w:p w14:paraId="5E97D5A2" w14:textId="77777777" w:rsidR="00165DEA" w:rsidRPr="00D50AC5" w:rsidRDefault="00165DEA" w:rsidP="009E6608">
            <w:pPr>
              <w:spacing w:after="0"/>
              <w:jc w:val="center"/>
              <w:rPr>
                <w:rFonts w:cs="Arial"/>
                <w:color w:val="000000"/>
                <w:sz w:val="16"/>
                <w:szCs w:val="16"/>
                <w:lang w:eastAsia="en-GB"/>
              </w:rPr>
            </w:pPr>
            <w:r w:rsidRPr="00D50AC5">
              <w:rPr>
                <w:rFonts w:cs="Arial"/>
                <w:color w:val="000000"/>
                <w:sz w:val="16"/>
                <w:szCs w:val="16"/>
                <w:lang w:eastAsia="en-GB"/>
              </w:rPr>
              <w:t>UNDP</w:t>
            </w:r>
          </w:p>
        </w:tc>
        <w:tc>
          <w:tcPr>
            <w:tcW w:w="1934" w:type="dxa"/>
            <w:tcBorders>
              <w:top w:val="nil"/>
              <w:left w:val="nil"/>
              <w:bottom w:val="single" w:sz="8" w:space="0" w:color="auto"/>
              <w:right w:val="single" w:sz="8" w:space="0" w:color="auto"/>
            </w:tcBorders>
            <w:shd w:val="clear" w:color="auto" w:fill="auto"/>
            <w:vAlign w:val="center"/>
            <w:hideMark/>
          </w:tcPr>
          <w:p w14:paraId="01EB8298"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Netherlands</w:t>
            </w:r>
          </w:p>
        </w:tc>
        <w:tc>
          <w:tcPr>
            <w:tcW w:w="2547" w:type="dxa"/>
            <w:tcBorders>
              <w:top w:val="nil"/>
              <w:left w:val="nil"/>
              <w:bottom w:val="single" w:sz="8" w:space="0" w:color="auto"/>
              <w:right w:val="single" w:sz="8" w:space="0" w:color="auto"/>
            </w:tcBorders>
            <w:shd w:val="clear" w:color="auto" w:fill="auto"/>
            <w:vAlign w:val="center"/>
            <w:hideMark/>
          </w:tcPr>
          <w:p w14:paraId="42FDB36C" w14:textId="77777777" w:rsidR="00165DEA" w:rsidRPr="00D50AC5" w:rsidRDefault="00165DEA" w:rsidP="009E6608">
            <w:pPr>
              <w:spacing w:after="0"/>
              <w:rPr>
                <w:rFonts w:cs="Arial"/>
                <w:color w:val="000000"/>
                <w:sz w:val="16"/>
                <w:szCs w:val="16"/>
                <w:lang w:eastAsia="en-GB"/>
              </w:rPr>
            </w:pPr>
            <w:r w:rsidRPr="00781488">
              <w:rPr>
                <w:rFonts w:cs="Calibri"/>
                <w:color w:val="000000"/>
                <w:sz w:val="16"/>
                <w:szCs w:val="16"/>
                <w:lang w:eastAsia="en-GB"/>
              </w:rPr>
              <w:t>Localized assessment, staffing, and travel costs</w:t>
            </w:r>
          </w:p>
        </w:tc>
        <w:tc>
          <w:tcPr>
            <w:tcW w:w="1388" w:type="dxa"/>
            <w:tcBorders>
              <w:top w:val="nil"/>
              <w:left w:val="nil"/>
              <w:bottom w:val="single" w:sz="8" w:space="0" w:color="auto"/>
              <w:right w:val="single" w:sz="8" w:space="0" w:color="auto"/>
            </w:tcBorders>
            <w:shd w:val="clear" w:color="auto" w:fill="auto"/>
            <w:vAlign w:val="center"/>
            <w:hideMark/>
          </w:tcPr>
          <w:p w14:paraId="19D9048A"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59.000 </w:t>
            </w:r>
          </w:p>
        </w:tc>
      </w:tr>
      <w:tr w:rsidR="009A6FA6" w:rsidRPr="00D50AC5" w14:paraId="07FF36AA" w14:textId="77777777" w:rsidTr="009A6FA6">
        <w:trPr>
          <w:trHeight w:val="160"/>
        </w:trPr>
        <w:tc>
          <w:tcPr>
            <w:tcW w:w="2430" w:type="dxa"/>
            <w:vMerge/>
            <w:tcBorders>
              <w:top w:val="nil"/>
              <w:left w:val="single" w:sz="8" w:space="0" w:color="auto"/>
              <w:bottom w:val="single" w:sz="8" w:space="0" w:color="000000"/>
              <w:right w:val="single" w:sz="8" w:space="0" w:color="auto"/>
            </w:tcBorders>
            <w:vAlign w:val="center"/>
            <w:hideMark/>
          </w:tcPr>
          <w:p w14:paraId="6C63F7ED" w14:textId="77777777" w:rsidR="00165DEA" w:rsidRPr="00D50AC5" w:rsidRDefault="00165DEA" w:rsidP="009E6608">
            <w:pPr>
              <w:spacing w:after="0"/>
              <w:rPr>
                <w:rFonts w:cs="Arial"/>
                <w:b/>
                <w:bCs/>
                <w:color w:val="000000"/>
                <w:sz w:val="16"/>
                <w:szCs w:val="16"/>
                <w:lang w:eastAsia="en-GB"/>
              </w:rPr>
            </w:pPr>
          </w:p>
        </w:tc>
        <w:tc>
          <w:tcPr>
            <w:tcW w:w="2274" w:type="dxa"/>
            <w:tcBorders>
              <w:top w:val="nil"/>
              <w:left w:val="nil"/>
              <w:bottom w:val="single" w:sz="8" w:space="0" w:color="auto"/>
              <w:right w:val="single" w:sz="8" w:space="0" w:color="auto"/>
            </w:tcBorders>
            <w:shd w:val="clear" w:color="auto" w:fill="auto"/>
            <w:vAlign w:val="center"/>
            <w:hideMark/>
          </w:tcPr>
          <w:p w14:paraId="522B212E" w14:textId="77777777" w:rsidR="00165DEA" w:rsidRPr="00D50AC5" w:rsidRDefault="00165DEA" w:rsidP="009E6608">
            <w:pPr>
              <w:spacing w:after="0"/>
              <w:rPr>
                <w:rFonts w:cs="Arial"/>
                <w:i/>
                <w:iCs/>
                <w:color w:val="000000"/>
                <w:sz w:val="16"/>
                <w:szCs w:val="16"/>
                <w:lang w:eastAsia="en-GB"/>
              </w:rPr>
            </w:pPr>
            <w:r w:rsidRPr="00D50AC5">
              <w:rPr>
                <w:rFonts w:cs="Arial"/>
                <w:i/>
                <w:iCs/>
                <w:color w:val="000000"/>
                <w:sz w:val="16"/>
                <w:szCs w:val="16"/>
                <w:lang w:eastAsia="en-GB"/>
              </w:rPr>
              <w:t>Activity 2.4 Delivery of training courses at governorate levels</w:t>
            </w:r>
          </w:p>
        </w:tc>
        <w:tc>
          <w:tcPr>
            <w:tcW w:w="1233" w:type="dxa"/>
            <w:tcBorders>
              <w:top w:val="nil"/>
              <w:left w:val="nil"/>
              <w:bottom w:val="single" w:sz="8" w:space="0" w:color="auto"/>
              <w:right w:val="single" w:sz="8" w:space="0" w:color="auto"/>
            </w:tcBorders>
            <w:shd w:val="clear" w:color="auto" w:fill="auto"/>
            <w:vAlign w:val="center"/>
            <w:hideMark/>
          </w:tcPr>
          <w:p w14:paraId="5BA4B2B5"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35.000 </w:t>
            </w:r>
          </w:p>
        </w:tc>
        <w:tc>
          <w:tcPr>
            <w:tcW w:w="1235" w:type="dxa"/>
            <w:tcBorders>
              <w:top w:val="nil"/>
              <w:left w:val="nil"/>
              <w:bottom w:val="single" w:sz="8" w:space="0" w:color="auto"/>
              <w:right w:val="single" w:sz="8" w:space="0" w:color="auto"/>
            </w:tcBorders>
            <w:shd w:val="clear" w:color="auto" w:fill="auto"/>
            <w:vAlign w:val="center"/>
            <w:hideMark/>
          </w:tcPr>
          <w:p w14:paraId="5868B127"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42.000 </w:t>
            </w:r>
          </w:p>
        </w:tc>
        <w:tc>
          <w:tcPr>
            <w:tcW w:w="1719" w:type="dxa"/>
            <w:tcBorders>
              <w:top w:val="nil"/>
              <w:left w:val="nil"/>
              <w:bottom w:val="single" w:sz="8" w:space="0" w:color="auto"/>
              <w:right w:val="single" w:sz="8" w:space="0" w:color="auto"/>
            </w:tcBorders>
            <w:shd w:val="clear" w:color="auto" w:fill="auto"/>
            <w:vAlign w:val="center"/>
            <w:hideMark/>
          </w:tcPr>
          <w:p w14:paraId="4361187C" w14:textId="77777777" w:rsidR="00165DEA" w:rsidRPr="00D50AC5" w:rsidRDefault="00165DEA" w:rsidP="009E6608">
            <w:pPr>
              <w:spacing w:after="0"/>
              <w:jc w:val="center"/>
              <w:rPr>
                <w:rFonts w:cs="Arial"/>
                <w:color w:val="000000"/>
                <w:sz w:val="16"/>
                <w:szCs w:val="16"/>
                <w:lang w:eastAsia="en-GB"/>
              </w:rPr>
            </w:pPr>
            <w:r w:rsidRPr="00D50AC5">
              <w:rPr>
                <w:rFonts w:cs="Arial"/>
                <w:color w:val="000000"/>
                <w:sz w:val="16"/>
                <w:szCs w:val="16"/>
                <w:lang w:eastAsia="en-GB"/>
              </w:rPr>
              <w:t>UNDP</w:t>
            </w:r>
          </w:p>
        </w:tc>
        <w:tc>
          <w:tcPr>
            <w:tcW w:w="1934" w:type="dxa"/>
            <w:tcBorders>
              <w:top w:val="nil"/>
              <w:left w:val="nil"/>
              <w:bottom w:val="single" w:sz="8" w:space="0" w:color="auto"/>
              <w:right w:val="single" w:sz="8" w:space="0" w:color="auto"/>
            </w:tcBorders>
            <w:shd w:val="clear" w:color="auto" w:fill="auto"/>
            <w:vAlign w:val="center"/>
            <w:hideMark/>
          </w:tcPr>
          <w:p w14:paraId="7EF5156D"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Netherlands</w:t>
            </w:r>
          </w:p>
        </w:tc>
        <w:tc>
          <w:tcPr>
            <w:tcW w:w="2547" w:type="dxa"/>
            <w:tcBorders>
              <w:top w:val="nil"/>
              <w:left w:val="nil"/>
              <w:bottom w:val="single" w:sz="8" w:space="0" w:color="auto"/>
              <w:right w:val="single" w:sz="8" w:space="0" w:color="auto"/>
            </w:tcBorders>
            <w:shd w:val="clear" w:color="auto" w:fill="auto"/>
            <w:vAlign w:val="center"/>
            <w:hideMark/>
          </w:tcPr>
          <w:p w14:paraId="1B43E246" w14:textId="77777777" w:rsidR="00165DEA" w:rsidRPr="00D50AC5" w:rsidRDefault="00165DEA" w:rsidP="009E6608">
            <w:pPr>
              <w:spacing w:after="0"/>
              <w:rPr>
                <w:rFonts w:cs="Arial"/>
                <w:color w:val="000000"/>
                <w:sz w:val="16"/>
                <w:szCs w:val="16"/>
                <w:lang w:eastAsia="en-GB"/>
              </w:rPr>
            </w:pPr>
            <w:r>
              <w:rPr>
                <w:rFonts w:cs="Calibri"/>
                <w:color w:val="000000"/>
                <w:sz w:val="16"/>
                <w:szCs w:val="16"/>
                <w:lang w:eastAsia="en-GB"/>
              </w:rPr>
              <w:t>Staffing, venue, travel, and monitoring costs</w:t>
            </w:r>
          </w:p>
        </w:tc>
        <w:tc>
          <w:tcPr>
            <w:tcW w:w="1388" w:type="dxa"/>
            <w:tcBorders>
              <w:top w:val="nil"/>
              <w:left w:val="nil"/>
              <w:bottom w:val="single" w:sz="8" w:space="0" w:color="auto"/>
              <w:right w:val="single" w:sz="8" w:space="0" w:color="auto"/>
            </w:tcBorders>
            <w:shd w:val="clear" w:color="auto" w:fill="auto"/>
            <w:vAlign w:val="center"/>
            <w:hideMark/>
          </w:tcPr>
          <w:p w14:paraId="164C4BA8"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77.000 </w:t>
            </w:r>
          </w:p>
        </w:tc>
      </w:tr>
      <w:tr w:rsidR="009A6FA6" w:rsidRPr="00D50AC5" w14:paraId="235689D6" w14:textId="77777777" w:rsidTr="009A6FA6">
        <w:trPr>
          <w:trHeight w:val="296"/>
        </w:trPr>
        <w:tc>
          <w:tcPr>
            <w:tcW w:w="2430" w:type="dxa"/>
            <w:vMerge/>
            <w:tcBorders>
              <w:top w:val="nil"/>
              <w:left w:val="single" w:sz="8" w:space="0" w:color="auto"/>
              <w:bottom w:val="single" w:sz="8" w:space="0" w:color="000000"/>
              <w:right w:val="single" w:sz="8" w:space="0" w:color="auto"/>
            </w:tcBorders>
            <w:vAlign w:val="center"/>
            <w:hideMark/>
          </w:tcPr>
          <w:p w14:paraId="64E0C7EF" w14:textId="77777777" w:rsidR="00165DEA" w:rsidRPr="00D50AC5" w:rsidRDefault="00165DEA" w:rsidP="009E6608">
            <w:pPr>
              <w:spacing w:after="0"/>
              <w:rPr>
                <w:rFonts w:cs="Arial"/>
                <w:b/>
                <w:bCs/>
                <w:color w:val="000000"/>
                <w:sz w:val="16"/>
                <w:szCs w:val="16"/>
                <w:lang w:eastAsia="en-GB"/>
              </w:rPr>
            </w:pPr>
          </w:p>
        </w:tc>
        <w:tc>
          <w:tcPr>
            <w:tcW w:w="2274" w:type="dxa"/>
            <w:tcBorders>
              <w:top w:val="nil"/>
              <w:left w:val="nil"/>
              <w:bottom w:val="single" w:sz="8" w:space="0" w:color="auto"/>
              <w:right w:val="single" w:sz="8" w:space="0" w:color="auto"/>
            </w:tcBorders>
            <w:shd w:val="clear" w:color="auto" w:fill="auto"/>
            <w:vAlign w:val="center"/>
            <w:hideMark/>
          </w:tcPr>
          <w:p w14:paraId="1E631429" w14:textId="77777777" w:rsidR="00165DEA" w:rsidRPr="00D50AC5" w:rsidRDefault="00165DEA" w:rsidP="009E6608">
            <w:pPr>
              <w:spacing w:after="0"/>
              <w:rPr>
                <w:rFonts w:cs="Arial"/>
                <w:i/>
                <w:iCs/>
                <w:color w:val="000000"/>
                <w:sz w:val="16"/>
                <w:szCs w:val="16"/>
                <w:lang w:eastAsia="en-GB"/>
              </w:rPr>
            </w:pPr>
            <w:r w:rsidRPr="00D50AC5">
              <w:rPr>
                <w:rFonts w:cs="Arial"/>
                <w:i/>
                <w:iCs/>
                <w:color w:val="000000"/>
                <w:sz w:val="16"/>
                <w:szCs w:val="16"/>
                <w:lang w:eastAsia="en-GB"/>
              </w:rPr>
              <w:t>Activity 2.5 International Expert</w:t>
            </w:r>
          </w:p>
        </w:tc>
        <w:tc>
          <w:tcPr>
            <w:tcW w:w="1233" w:type="dxa"/>
            <w:tcBorders>
              <w:top w:val="nil"/>
              <w:left w:val="nil"/>
              <w:bottom w:val="single" w:sz="8" w:space="0" w:color="auto"/>
              <w:right w:val="single" w:sz="8" w:space="0" w:color="auto"/>
            </w:tcBorders>
            <w:shd w:val="clear" w:color="auto" w:fill="auto"/>
            <w:vAlign w:val="center"/>
            <w:hideMark/>
          </w:tcPr>
          <w:p w14:paraId="5A0937CB"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58.102 </w:t>
            </w:r>
          </w:p>
        </w:tc>
        <w:tc>
          <w:tcPr>
            <w:tcW w:w="1235" w:type="dxa"/>
            <w:tcBorders>
              <w:top w:val="nil"/>
              <w:left w:val="nil"/>
              <w:bottom w:val="single" w:sz="8" w:space="0" w:color="auto"/>
              <w:right w:val="single" w:sz="8" w:space="0" w:color="auto"/>
            </w:tcBorders>
            <w:shd w:val="clear" w:color="auto" w:fill="auto"/>
            <w:vAlign w:val="center"/>
            <w:hideMark/>
          </w:tcPr>
          <w:p w14:paraId="2EAE4ADA"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35.557 </w:t>
            </w:r>
          </w:p>
        </w:tc>
        <w:tc>
          <w:tcPr>
            <w:tcW w:w="1719" w:type="dxa"/>
            <w:tcBorders>
              <w:top w:val="nil"/>
              <w:left w:val="nil"/>
              <w:bottom w:val="single" w:sz="8" w:space="0" w:color="auto"/>
              <w:right w:val="single" w:sz="8" w:space="0" w:color="auto"/>
            </w:tcBorders>
            <w:shd w:val="clear" w:color="auto" w:fill="auto"/>
            <w:vAlign w:val="center"/>
            <w:hideMark/>
          </w:tcPr>
          <w:p w14:paraId="6F7A5A72" w14:textId="77777777" w:rsidR="00165DEA" w:rsidRPr="00D50AC5" w:rsidRDefault="00165DEA" w:rsidP="009E6608">
            <w:pPr>
              <w:spacing w:after="0"/>
              <w:jc w:val="center"/>
              <w:rPr>
                <w:rFonts w:cs="Arial"/>
                <w:color w:val="000000"/>
                <w:sz w:val="16"/>
                <w:szCs w:val="16"/>
                <w:lang w:eastAsia="en-GB"/>
              </w:rPr>
            </w:pPr>
            <w:r w:rsidRPr="00D50AC5">
              <w:rPr>
                <w:rFonts w:cs="Arial"/>
                <w:color w:val="000000"/>
                <w:sz w:val="16"/>
                <w:szCs w:val="16"/>
                <w:lang w:eastAsia="en-GB"/>
              </w:rPr>
              <w:t>UNDP</w:t>
            </w:r>
          </w:p>
        </w:tc>
        <w:tc>
          <w:tcPr>
            <w:tcW w:w="1934" w:type="dxa"/>
            <w:tcBorders>
              <w:top w:val="nil"/>
              <w:left w:val="nil"/>
              <w:bottom w:val="single" w:sz="8" w:space="0" w:color="auto"/>
              <w:right w:val="single" w:sz="8" w:space="0" w:color="auto"/>
            </w:tcBorders>
            <w:shd w:val="clear" w:color="auto" w:fill="auto"/>
            <w:vAlign w:val="center"/>
            <w:hideMark/>
          </w:tcPr>
          <w:p w14:paraId="43ECABAB"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Netherlands</w:t>
            </w:r>
          </w:p>
        </w:tc>
        <w:tc>
          <w:tcPr>
            <w:tcW w:w="2547" w:type="dxa"/>
            <w:tcBorders>
              <w:top w:val="nil"/>
              <w:left w:val="nil"/>
              <w:bottom w:val="single" w:sz="8" w:space="0" w:color="auto"/>
              <w:right w:val="single" w:sz="8" w:space="0" w:color="auto"/>
            </w:tcBorders>
            <w:shd w:val="clear" w:color="auto" w:fill="auto"/>
            <w:vAlign w:val="center"/>
            <w:hideMark/>
          </w:tcPr>
          <w:p w14:paraId="69829A75" w14:textId="77777777" w:rsidR="00165DEA" w:rsidRPr="00D50AC5" w:rsidRDefault="00165DEA" w:rsidP="009E6608">
            <w:pPr>
              <w:spacing w:after="0"/>
              <w:rPr>
                <w:rFonts w:cs="Arial"/>
                <w:color w:val="000000"/>
                <w:sz w:val="16"/>
                <w:szCs w:val="16"/>
                <w:lang w:eastAsia="en-GB"/>
              </w:rPr>
            </w:pPr>
            <w:r>
              <w:rPr>
                <w:rFonts w:cs="Calibri"/>
                <w:color w:val="000000"/>
                <w:sz w:val="16"/>
                <w:szCs w:val="16"/>
                <w:lang w:eastAsia="en-GB"/>
              </w:rPr>
              <w:t>Consultancy c</w:t>
            </w:r>
            <w:r w:rsidRPr="00D50AC5">
              <w:rPr>
                <w:rFonts w:cs="Calibri"/>
                <w:color w:val="000000"/>
                <w:sz w:val="16"/>
                <w:szCs w:val="16"/>
                <w:lang w:eastAsia="en-GB"/>
              </w:rPr>
              <w:t>osts</w:t>
            </w:r>
          </w:p>
        </w:tc>
        <w:tc>
          <w:tcPr>
            <w:tcW w:w="1388" w:type="dxa"/>
            <w:tcBorders>
              <w:top w:val="nil"/>
              <w:left w:val="nil"/>
              <w:bottom w:val="single" w:sz="8" w:space="0" w:color="auto"/>
              <w:right w:val="single" w:sz="8" w:space="0" w:color="auto"/>
            </w:tcBorders>
            <w:shd w:val="clear" w:color="auto" w:fill="auto"/>
            <w:vAlign w:val="center"/>
            <w:hideMark/>
          </w:tcPr>
          <w:p w14:paraId="526C6474"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93.659 </w:t>
            </w:r>
          </w:p>
        </w:tc>
      </w:tr>
      <w:tr w:rsidR="009A6FA6" w:rsidRPr="00D50AC5" w14:paraId="784DB10F" w14:textId="77777777" w:rsidTr="009A6FA6">
        <w:trPr>
          <w:trHeight w:val="331"/>
        </w:trPr>
        <w:tc>
          <w:tcPr>
            <w:tcW w:w="2430" w:type="dxa"/>
            <w:vMerge/>
            <w:tcBorders>
              <w:top w:val="nil"/>
              <w:left w:val="single" w:sz="8" w:space="0" w:color="auto"/>
              <w:bottom w:val="single" w:sz="8" w:space="0" w:color="000000"/>
              <w:right w:val="single" w:sz="8" w:space="0" w:color="auto"/>
            </w:tcBorders>
            <w:vAlign w:val="center"/>
            <w:hideMark/>
          </w:tcPr>
          <w:p w14:paraId="49F2AC76" w14:textId="77777777" w:rsidR="00165DEA" w:rsidRPr="00D50AC5" w:rsidRDefault="00165DEA" w:rsidP="009E6608">
            <w:pPr>
              <w:spacing w:after="0"/>
              <w:rPr>
                <w:rFonts w:cs="Arial"/>
                <w:b/>
                <w:bCs/>
                <w:color w:val="000000"/>
                <w:sz w:val="16"/>
                <w:szCs w:val="16"/>
                <w:lang w:eastAsia="en-GB"/>
              </w:rPr>
            </w:pPr>
          </w:p>
        </w:tc>
        <w:tc>
          <w:tcPr>
            <w:tcW w:w="2274" w:type="dxa"/>
            <w:tcBorders>
              <w:top w:val="nil"/>
              <w:left w:val="nil"/>
              <w:bottom w:val="single" w:sz="8" w:space="0" w:color="auto"/>
              <w:right w:val="single" w:sz="8" w:space="0" w:color="auto"/>
            </w:tcBorders>
            <w:shd w:val="clear" w:color="auto" w:fill="auto"/>
            <w:vAlign w:val="center"/>
            <w:hideMark/>
          </w:tcPr>
          <w:p w14:paraId="7DCEFCE9" w14:textId="77777777" w:rsidR="00165DEA" w:rsidRPr="00D50AC5" w:rsidRDefault="00165DEA" w:rsidP="009E6608">
            <w:pPr>
              <w:spacing w:after="0"/>
              <w:rPr>
                <w:rFonts w:cs="Arial"/>
                <w:color w:val="000000"/>
                <w:sz w:val="16"/>
                <w:szCs w:val="16"/>
                <w:lang w:eastAsia="en-GB"/>
              </w:rPr>
            </w:pPr>
            <w:r w:rsidRPr="00D50AC5">
              <w:rPr>
                <w:rFonts w:cs="Arial"/>
                <w:color w:val="000000"/>
                <w:sz w:val="16"/>
                <w:szCs w:val="16"/>
                <w:lang w:eastAsia="en-GB"/>
              </w:rPr>
              <w:t>Activity 2.6 Monitoring and Evaluation (~3%)</w:t>
            </w:r>
          </w:p>
        </w:tc>
        <w:tc>
          <w:tcPr>
            <w:tcW w:w="1233" w:type="dxa"/>
            <w:tcBorders>
              <w:top w:val="nil"/>
              <w:left w:val="nil"/>
              <w:bottom w:val="single" w:sz="8" w:space="0" w:color="auto"/>
              <w:right w:val="single" w:sz="8" w:space="0" w:color="auto"/>
            </w:tcBorders>
            <w:shd w:val="clear" w:color="auto" w:fill="auto"/>
            <w:vAlign w:val="center"/>
            <w:hideMark/>
          </w:tcPr>
          <w:p w14:paraId="08C972E1"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5.000 </w:t>
            </w:r>
          </w:p>
        </w:tc>
        <w:tc>
          <w:tcPr>
            <w:tcW w:w="1235" w:type="dxa"/>
            <w:tcBorders>
              <w:top w:val="nil"/>
              <w:left w:val="nil"/>
              <w:bottom w:val="single" w:sz="8" w:space="0" w:color="auto"/>
              <w:right w:val="single" w:sz="8" w:space="0" w:color="auto"/>
            </w:tcBorders>
            <w:shd w:val="clear" w:color="auto" w:fill="auto"/>
            <w:vAlign w:val="center"/>
            <w:hideMark/>
          </w:tcPr>
          <w:p w14:paraId="3348DB82"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5.000 </w:t>
            </w:r>
          </w:p>
        </w:tc>
        <w:tc>
          <w:tcPr>
            <w:tcW w:w="1719" w:type="dxa"/>
            <w:tcBorders>
              <w:top w:val="nil"/>
              <w:left w:val="nil"/>
              <w:bottom w:val="single" w:sz="8" w:space="0" w:color="auto"/>
              <w:right w:val="single" w:sz="8" w:space="0" w:color="auto"/>
            </w:tcBorders>
            <w:shd w:val="clear" w:color="auto" w:fill="auto"/>
            <w:vAlign w:val="center"/>
            <w:hideMark/>
          </w:tcPr>
          <w:p w14:paraId="0D19E5CB"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UNDP</w:t>
            </w:r>
          </w:p>
        </w:tc>
        <w:tc>
          <w:tcPr>
            <w:tcW w:w="1934" w:type="dxa"/>
            <w:tcBorders>
              <w:top w:val="nil"/>
              <w:left w:val="nil"/>
              <w:bottom w:val="single" w:sz="8" w:space="0" w:color="auto"/>
              <w:right w:val="single" w:sz="8" w:space="0" w:color="auto"/>
            </w:tcBorders>
            <w:shd w:val="clear" w:color="auto" w:fill="auto"/>
            <w:vAlign w:val="center"/>
            <w:hideMark/>
          </w:tcPr>
          <w:p w14:paraId="35914EE0"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Netherlands</w:t>
            </w:r>
          </w:p>
        </w:tc>
        <w:tc>
          <w:tcPr>
            <w:tcW w:w="2547" w:type="dxa"/>
            <w:tcBorders>
              <w:top w:val="nil"/>
              <w:left w:val="nil"/>
              <w:bottom w:val="single" w:sz="8" w:space="0" w:color="auto"/>
              <w:right w:val="single" w:sz="8" w:space="0" w:color="auto"/>
            </w:tcBorders>
            <w:shd w:val="clear" w:color="auto" w:fill="auto"/>
            <w:vAlign w:val="center"/>
            <w:hideMark/>
          </w:tcPr>
          <w:p w14:paraId="228BAEB5" w14:textId="77777777" w:rsidR="00165DEA" w:rsidRPr="00D50AC5" w:rsidRDefault="00165DEA" w:rsidP="009E6608">
            <w:pPr>
              <w:spacing w:after="0"/>
              <w:rPr>
                <w:rFonts w:cs="Arial"/>
                <w:color w:val="000000"/>
                <w:sz w:val="16"/>
                <w:szCs w:val="16"/>
                <w:lang w:eastAsia="en-GB"/>
              </w:rPr>
            </w:pPr>
            <w:r>
              <w:rPr>
                <w:rFonts w:cs="Calibri"/>
                <w:color w:val="000000"/>
                <w:sz w:val="16"/>
                <w:szCs w:val="16"/>
                <w:lang w:eastAsia="en-GB"/>
              </w:rPr>
              <w:t>Staffing c</w:t>
            </w:r>
            <w:r w:rsidRPr="00D50AC5">
              <w:rPr>
                <w:rFonts w:cs="Calibri"/>
                <w:color w:val="000000"/>
                <w:sz w:val="16"/>
                <w:szCs w:val="16"/>
                <w:lang w:eastAsia="en-GB"/>
              </w:rPr>
              <w:t>osts</w:t>
            </w:r>
          </w:p>
        </w:tc>
        <w:tc>
          <w:tcPr>
            <w:tcW w:w="1388" w:type="dxa"/>
            <w:tcBorders>
              <w:top w:val="nil"/>
              <w:left w:val="nil"/>
              <w:bottom w:val="single" w:sz="8" w:space="0" w:color="auto"/>
              <w:right w:val="single" w:sz="8" w:space="0" w:color="auto"/>
            </w:tcBorders>
            <w:shd w:val="clear" w:color="auto" w:fill="auto"/>
            <w:vAlign w:val="center"/>
            <w:hideMark/>
          </w:tcPr>
          <w:p w14:paraId="63BA2C98"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10.000 </w:t>
            </w:r>
          </w:p>
        </w:tc>
      </w:tr>
      <w:tr w:rsidR="00165DEA" w:rsidRPr="00D50AC5" w14:paraId="7B499A5A" w14:textId="77777777" w:rsidTr="009A6FA6">
        <w:trPr>
          <w:trHeight w:val="236"/>
        </w:trPr>
        <w:tc>
          <w:tcPr>
            <w:tcW w:w="2430" w:type="dxa"/>
            <w:vMerge/>
            <w:tcBorders>
              <w:top w:val="nil"/>
              <w:left w:val="single" w:sz="8" w:space="0" w:color="auto"/>
              <w:bottom w:val="single" w:sz="8" w:space="0" w:color="000000"/>
              <w:right w:val="single" w:sz="8" w:space="0" w:color="auto"/>
            </w:tcBorders>
            <w:vAlign w:val="center"/>
            <w:hideMark/>
          </w:tcPr>
          <w:p w14:paraId="578E9797" w14:textId="77777777" w:rsidR="00165DEA" w:rsidRPr="00D50AC5" w:rsidRDefault="00165DEA" w:rsidP="009E6608">
            <w:pPr>
              <w:spacing w:after="0"/>
              <w:rPr>
                <w:rFonts w:cs="Arial"/>
                <w:b/>
                <w:bCs/>
                <w:color w:val="000000"/>
                <w:sz w:val="16"/>
                <w:szCs w:val="16"/>
                <w:lang w:eastAsia="en-GB"/>
              </w:rPr>
            </w:pPr>
          </w:p>
        </w:tc>
        <w:tc>
          <w:tcPr>
            <w:tcW w:w="10944" w:type="dxa"/>
            <w:gridSpan w:val="6"/>
            <w:tcBorders>
              <w:top w:val="single" w:sz="8" w:space="0" w:color="auto"/>
              <w:left w:val="nil"/>
              <w:bottom w:val="single" w:sz="8" w:space="0" w:color="auto"/>
              <w:right w:val="single" w:sz="8" w:space="0" w:color="000000"/>
            </w:tcBorders>
            <w:shd w:val="clear" w:color="000000" w:fill="F2F2F2"/>
            <w:vAlign w:val="center"/>
            <w:hideMark/>
          </w:tcPr>
          <w:p w14:paraId="145A6189" w14:textId="77777777" w:rsidR="00165DEA" w:rsidRPr="00D50AC5" w:rsidRDefault="00165DEA" w:rsidP="009E6608">
            <w:pPr>
              <w:spacing w:after="0"/>
              <w:rPr>
                <w:rFonts w:cs="Arial"/>
                <w:b/>
                <w:bCs/>
                <w:color w:val="000000"/>
                <w:sz w:val="16"/>
                <w:szCs w:val="16"/>
                <w:lang w:eastAsia="en-GB"/>
              </w:rPr>
            </w:pPr>
            <w:r w:rsidRPr="00D50AC5">
              <w:rPr>
                <w:rFonts w:cs="Calibri"/>
                <w:b/>
                <w:bCs/>
                <w:color w:val="000000"/>
                <w:sz w:val="16"/>
                <w:szCs w:val="16"/>
                <w:lang w:eastAsia="en-GB"/>
              </w:rPr>
              <w:t>Sub-Total for Output 1</w:t>
            </w:r>
          </w:p>
        </w:tc>
        <w:tc>
          <w:tcPr>
            <w:tcW w:w="1388" w:type="dxa"/>
            <w:tcBorders>
              <w:top w:val="nil"/>
              <w:left w:val="nil"/>
              <w:bottom w:val="single" w:sz="8" w:space="0" w:color="auto"/>
              <w:right w:val="single" w:sz="8" w:space="0" w:color="auto"/>
            </w:tcBorders>
            <w:shd w:val="clear" w:color="000000" w:fill="F2F2F2"/>
            <w:vAlign w:val="center"/>
            <w:hideMark/>
          </w:tcPr>
          <w:p w14:paraId="6A5C8AE6" w14:textId="77777777" w:rsidR="00165DEA" w:rsidRPr="00D50AC5" w:rsidRDefault="00165DEA" w:rsidP="009E6608">
            <w:pPr>
              <w:spacing w:after="0"/>
              <w:jc w:val="center"/>
              <w:rPr>
                <w:rFonts w:cs="Arial"/>
                <w:color w:val="000000"/>
                <w:sz w:val="16"/>
                <w:szCs w:val="16"/>
                <w:lang w:eastAsia="en-GB"/>
              </w:rPr>
            </w:pPr>
            <w:r w:rsidRPr="00D50AC5">
              <w:rPr>
                <w:rFonts w:cs="Arial"/>
                <w:color w:val="000000"/>
                <w:sz w:val="16"/>
                <w:szCs w:val="16"/>
                <w:lang w:eastAsia="en-GB"/>
              </w:rPr>
              <w:t xml:space="preserve">            313.059 </w:t>
            </w:r>
          </w:p>
        </w:tc>
      </w:tr>
      <w:tr w:rsidR="00165DEA" w:rsidRPr="00D50AC5" w14:paraId="1B163D02" w14:textId="77777777" w:rsidTr="009A6FA6">
        <w:trPr>
          <w:cantSplit/>
          <w:trHeight w:val="317"/>
        </w:trPr>
        <w:tc>
          <w:tcPr>
            <w:tcW w:w="2430" w:type="dxa"/>
            <w:tcBorders>
              <w:top w:val="nil"/>
              <w:left w:val="single" w:sz="8" w:space="0" w:color="auto"/>
              <w:bottom w:val="single" w:sz="8" w:space="0" w:color="auto"/>
              <w:right w:val="single" w:sz="8" w:space="0" w:color="auto"/>
            </w:tcBorders>
            <w:shd w:val="clear" w:color="auto" w:fill="auto"/>
            <w:vAlign w:val="center"/>
            <w:hideMark/>
          </w:tcPr>
          <w:p w14:paraId="51B3781D" w14:textId="77777777" w:rsidR="00165DEA" w:rsidRPr="00D50AC5" w:rsidRDefault="00165DEA" w:rsidP="009E6608">
            <w:pPr>
              <w:spacing w:after="0"/>
              <w:rPr>
                <w:rFonts w:cs="Arial"/>
                <w:b/>
                <w:bCs/>
                <w:color w:val="000000"/>
                <w:sz w:val="16"/>
                <w:szCs w:val="16"/>
                <w:lang w:eastAsia="en-GB"/>
              </w:rPr>
            </w:pPr>
            <w:r w:rsidRPr="00D50AC5">
              <w:rPr>
                <w:rFonts w:cs="Calibri"/>
                <w:b/>
                <w:bCs/>
                <w:color w:val="000000"/>
                <w:sz w:val="16"/>
                <w:szCs w:val="16"/>
                <w:lang w:eastAsia="en-GB"/>
              </w:rPr>
              <w:t>General Management Support</w:t>
            </w:r>
          </w:p>
        </w:tc>
        <w:tc>
          <w:tcPr>
            <w:tcW w:w="2274" w:type="dxa"/>
            <w:tcBorders>
              <w:top w:val="nil"/>
              <w:left w:val="nil"/>
              <w:bottom w:val="single" w:sz="8" w:space="0" w:color="auto"/>
              <w:right w:val="single" w:sz="8" w:space="0" w:color="auto"/>
            </w:tcBorders>
            <w:shd w:val="clear" w:color="auto" w:fill="auto"/>
            <w:vAlign w:val="center"/>
            <w:hideMark/>
          </w:tcPr>
          <w:p w14:paraId="6D13CF78" w14:textId="77777777" w:rsidR="00165DEA" w:rsidRPr="00D50AC5" w:rsidRDefault="00165DEA" w:rsidP="009E6608">
            <w:pPr>
              <w:spacing w:after="0"/>
              <w:rPr>
                <w:rFonts w:cs="Arial"/>
                <w:color w:val="000000"/>
                <w:sz w:val="16"/>
                <w:szCs w:val="16"/>
                <w:lang w:eastAsia="en-GB"/>
              </w:rPr>
            </w:pPr>
            <w:r w:rsidRPr="00D50AC5">
              <w:rPr>
                <w:rFonts w:cs="Arial"/>
                <w:color w:val="000000"/>
                <w:sz w:val="16"/>
                <w:szCs w:val="16"/>
                <w:lang w:eastAsia="en-GB"/>
              </w:rPr>
              <w:t>GMS 8%</w:t>
            </w:r>
          </w:p>
        </w:tc>
        <w:tc>
          <w:tcPr>
            <w:tcW w:w="8670" w:type="dxa"/>
            <w:gridSpan w:val="5"/>
            <w:tcBorders>
              <w:top w:val="single" w:sz="8" w:space="0" w:color="auto"/>
              <w:left w:val="nil"/>
              <w:bottom w:val="single" w:sz="8" w:space="0" w:color="auto"/>
              <w:right w:val="single" w:sz="8" w:space="0" w:color="000000"/>
            </w:tcBorders>
            <w:shd w:val="clear" w:color="auto" w:fill="auto"/>
            <w:vAlign w:val="center"/>
            <w:hideMark/>
          </w:tcPr>
          <w:p w14:paraId="2C0B0DC1" w14:textId="77777777" w:rsidR="00165DEA" w:rsidRPr="00D50AC5" w:rsidRDefault="00165DEA" w:rsidP="009E6608">
            <w:pPr>
              <w:spacing w:after="0"/>
              <w:jc w:val="center"/>
              <w:rPr>
                <w:rFonts w:cs="Arial"/>
                <w:color w:val="000000"/>
                <w:sz w:val="16"/>
                <w:szCs w:val="16"/>
                <w:lang w:eastAsia="en-GB"/>
              </w:rPr>
            </w:pPr>
            <w:r w:rsidRPr="00D50AC5">
              <w:rPr>
                <w:rFonts w:cs="Arial"/>
                <w:color w:val="000000"/>
                <w:sz w:val="16"/>
                <w:szCs w:val="16"/>
                <w:lang w:eastAsia="en-GB"/>
              </w:rPr>
              <w:t> </w:t>
            </w:r>
          </w:p>
        </w:tc>
        <w:tc>
          <w:tcPr>
            <w:tcW w:w="1388" w:type="dxa"/>
            <w:tcBorders>
              <w:top w:val="nil"/>
              <w:left w:val="nil"/>
              <w:bottom w:val="single" w:sz="8" w:space="0" w:color="auto"/>
              <w:right w:val="single" w:sz="8" w:space="0" w:color="auto"/>
            </w:tcBorders>
            <w:shd w:val="clear" w:color="auto" w:fill="auto"/>
            <w:vAlign w:val="center"/>
            <w:hideMark/>
          </w:tcPr>
          <w:p w14:paraId="3F1B72F7" w14:textId="77777777" w:rsidR="00165DEA" w:rsidRPr="00D50AC5" w:rsidRDefault="00165DEA" w:rsidP="009E6608">
            <w:pPr>
              <w:spacing w:after="0"/>
              <w:jc w:val="center"/>
              <w:rPr>
                <w:rFonts w:cs="Arial"/>
                <w:color w:val="000000"/>
                <w:sz w:val="16"/>
                <w:szCs w:val="16"/>
                <w:lang w:eastAsia="en-GB"/>
              </w:rPr>
            </w:pPr>
            <w:r w:rsidRPr="00D50AC5">
              <w:rPr>
                <w:rFonts w:cs="Calibri"/>
                <w:color w:val="000000"/>
                <w:sz w:val="16"/>
                <w:szCs w:val="16"/>
                <w:lang w:eastAsia="en-GB"/>
              </w:rPr>
              <w:t xml:space="preserve">               25.045 </w:t>
            </w:r>
          </w:p>
        </w:tc>
      </w:tr>
      <w:tr w:rsidR="00165DEA" w:rsidRPr="00D50AC5" w14:paraId="49D484DD" w14:textId="77777777" w:rsidTr="009A6FA6">
        <w:trPr>
          <w:cantSplit/>
          <w:trHeight w:val="447"/>
        </w:trPr>
        <w:tc>
          <w:tcPr>
            <w:tcW w:w="13374"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3F2F2FF2" w14:textId="77777777" w:rsidR="00165DEA" w:rsidRPr="00D50AC5" w:rsidRDefault="00165DEA" w:rsidP="009E6608">
            <w:pPr>
              <w:spacing w:after="0"/>
              <w:rPr>
                <w:rFonts w:cs="Arial"/>
                <w:b/>
                <w:bCs/>
                <w:color w:val="000000"/>
                <w:sz w:val="16"/>
                <w:szCs w:val="16"/>
                <w:lang w:eastAsia="en-GB"/>
              </w:rPr>
            </w:pPr>
            <w:r w:rsidRPr="00D50AC5">
              <w:rPr>
                <w:rFonts w:cs="Calibri"/>
                <w:b/>
                <w:bCs/>
                <w:color w:val="000000"/>
                <w:sz w:val="16"/>
                <w:szCs w:val="16"/>
                <w:lang w:eastAsia="en-GB"/>
              </w:rPr>
              <w:t>Total</w:t>
            </w:r>
          </w:p>
        </w:tc>
        <w:tc>
          <w:tcPr>
            <w:tcW w:w="1388" w:type="dxa"/>
            <w:tcBorders>
              <w:top w:val="nil"/>
              <w:left w:val="nil"/>
              <w:bottom w:val="single" w:sz="8" w:space="0" w:color="auto"/>
              <w:right w:val="single" w:sz="8" w:space="0" w:color="auto"/>
            </w:tcBorders>
            <w:shd w:val="clear" w:color="000000" w:fill="F2F2F2"/>
            <w:vAlign w:val="center"/>
            <w:hideMark/>
          </w:tcPr>
          <w:p w14:paraId="104F35ED" w14:textId="77777777" w:rsidR="00165DEA" w:rsidRPr="00D50AC5" w:rsidRDefault="00165DEA" w:rsidP="009E6608">
            <w:pPr>
              <w:spacing w:after="0"/>
              <w:jc w:val="center"/>
              <w:rPr>
                <w:rFonts w:cs="Arial"/>
                <w:color w:val="000000"/>
                <w:sz w:val="16"/>
                <w:szCs w:val="16"/>
                <w:lang w:eastAsia="en-GB"/>
              </w:rPr>
            </w:pPr>
            <w:r w:rsidRPr="00D50AC5">
              <w:rPr>
                <w:rFonts w:cs="Arial"/>
                <w:color w:val="000000"/>
                <w:sz w:val="16"/>
                <w:szCs w:val="16"/>
                <w:lang w:eastAsia="en-GB"/>
              </w:rPr>
              <w:t xml:space="preserve">            338.104 </w:t>
            </w:r>
          </w:p>
        </w:tc>
      </w:tr>
    </w:tbl>
    <w:p w14:paraId="6FFBE3C3" w14:textId="77777777" w:rsidR="005C42B2" w:rsidRDefault="005C42B2" w:rsidP="005C42B2">
      <w:pPr>
        <w:rPr>
          <w:rFonts w:ascii="Helvetica" w:hAnsi="Helvetica" w:cstheme="minorHAnsi"/>
          <w:i/>
          <w:sz w:val="20"/>
          <w:szCs w:val="20"/>
        </w:rPr>
      </w:pPr>
    </w:p>
    <w:p w14:paraId="5990601B" w14:textId="77777777" w:rsidR="00165DEA" w:rsidRPr="001B57C5" w:rsidRDefault="00165DEA" w:rsidP="005C42B2">
      <w:pPr>
        <w:rPr>
          <w:rFonts w:ascii="Helvetica" w:hAnsi="Helvetica" w:cstheme="minorHAnsi"/>
          <w:i/>
          <w:sz w:val="20"/>
          <w:szCs w:val="20"/>
        </w:rPr>
      </w:pPr>
    </w:p>
    <w:p w14:paraId="46180A05" w14:textId="77777777" w:rsidR="00095314" w:rsidRDefault="00095314" w:rsidP="00095314"/>
    <w:p w14:paraId="60FFDBE7" w14:textId="77777777" w:rsidR="005C42B2" w:rsidRDefault="005C42B2" w:rsidP="00A6671C">
      <w:pPr>
        <w:rPr>
          <w:rFonts w:ascii="Helvetica" w:hAnsi="Helvetica" w:cstheme="minorHAnsi"/>
          <w:sz w:val="20"/>
          <w:szCs w:val="20"/>
        </w:rPr>
      </w:pPr>
    </w:p>
    <w:p w14:paraId="47683AE8" w14:textId="77777777" w:rsidR="005C42B2" w:rsidRPr="001B57C5" w:rsidRDefault="005C42B2" w:rsidP="00A6671C">
      <w:pPr>
        <w:rPr>
          <w:rFonts w:ascii="Helvetica" w:hAnsi="Helvetica" w:cstheme="minorHAnsi"/>
          <w:sz w:val="20"/>
          <w:szCs w:val="20"/>
        </w:rPr>
        <w:sectPr w:rsidR="005C42B2" w:rsidRPr="001B57C5" w:rsidSect="00955924">
          <w:headerReference w:type="first" r:id="rId20"/>
          <w:pgSz w:w="16838" w:h="11906" w:orient="landscape" w:code="9"/>
          <w:pgMar w:top="1152" w:right="864" w:bottom="1152" w:left="864" w:header="720" w:footer="432" w:gutter="0"/>
          <w:cols w:space="708"/>
          <w:titlePg/>
          <w:docGrid w:linePitch="360"/>
        </w:sectPr>
      </w:pPr>
    </w:p>
    <w:p w14:paraId="659858A9" w14:textId="5E05384F" w:rsidR="00402E7B" w:rsidRPr="001B57C5" w:rsidRDefault="00402E7B" w:rsidP="00402E7B">
      <w:pPr>
        <w:pStyle w:val="berschrift1"/>
        <w:spacing w:after="120"/>
      </w:pPr>
      <w:r>
        <w:lastRenderedPageBreak/>
        <w:t xml:space="preserve">UNDP </w:t>
      </w:r>
    </w:p>
    <w:p w14:paraId="1ED57702" w14:textId="77777777" w:rsidR="00402E7B" w:rsidRPr="001B57C5" w:rsidRDefault="00402E7B" w:rsidP="00402E7B">
      <w:pPr>
        <w:rPr>
          <w:rFonts w:ascii="Helvetica" w:hAnsi="Helvetica" w:cstheme="minorHAnsi"/>
          <w:sz w:val="20"/>
          <w:szCs w:val="20"/>
        </w:rPr>
      </w:pPr>
    </w:p>
    <w:sectPr w:rsidR="00402E7B" w:rsidRPr="001B57C5" w:rsidSect="00FD6216">
      <w:pgSz w:w="11906" w:h="16838" w:code="9"/>
      <w:pgMar w:top="864" w:right="1152" w:bottom="864" w:left="1152" w:header="720" w:footer="4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A86A9" w16cid:durableId="1F3BBDEC"/>
  <w16cid:commentId w16cid:paraId="365F8508" w16cid:durableId="1F3BBEE0"/>
  <w16cid:commentId w16cid:paraId="097F5428" w16cid:durableId="1F3BBF82"/>
  <w16cid:commentId w16cid:paraId="28E61FCC" w16cid:durableId="1F3BBD26"/>
  <w16cid:commentId w16cid:paraId="08BF4856" w16cid:durableId="1F3BC225"/>
  <w16cid:commentId w16cid:paraId="5F06CB00" w16cid:durableId="1F3BC270"/>
  <w16cid:commentId w16cid:paraId="685CB03B" w16cid:durableId="1F3BC878"/>
  <w16cid:commentId w16cid:paraId="1E15077A" w16cid:durableId="1F3BC8BA"/>
  <w16cid:commentId w16cid:paraId="220AB699" w16cid:durableId="1F3BC776"/>
  <w16cid:commentId w16cid:paraId="7152CAB2" w16cid:durableId="1F3BC35C"/>
  <w16cid:commentId w16cid:paraId="2414B900" w16cid:durableId="1F3BC7B9"/>
  <w16cid:commentId w16cid:paraId="5C7A1492" w16cid:durableId="1F3BC83C"/>
  <w16cid:commentId w16cid:paraId="3BBD2C48" w16cid:durableId="1F3BC90B"/>
  <w16cid:commentId w16cid:paraId="2A53101F" w16cid:durableId="1F3BC94E"/>
  <w16cid:commentId w16cid:paraId="1CCECD6D" w16cid:durableId="1F3BC974"/>
  <w16cid:commentId w16cid:paraId="73323630" w16cid:durableId="1F3BCA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942C6" w14:textId="77777777" w:rsidR="00112E72" w:rsidRDefault="00112E72">
      <w:r>
        <w:separator/>
      </w:r>
    </w:p>
  </w:endnote>
  <w:endnote w:type="continuationSeparator" w:id="0">
    <w:p w14:paraId="53BC9005" w14:textId="77777777" w:rsidR="00112E72" w:rsidRDefault="0011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EA0F" w14:textId="77777777" w:rsidR="008973B6" w:rsidRDefault="008973B6" w:rsidP="00F358E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BBEA10" w14:textId="77777777" w:rsidR="008973B6" w:rsidRDefault="008973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EA11" w14:textId="0143BA6F" w:rsidR="008973B6" w:rsidRPr="009255C7" w:rsidRDefault="008973B6" w:rsidP="00453D4C">
    <w:pPr>
      <w:pStyle w:val="Fuzeile"/>
      <w:jc w:val="center"/>
      <w:rPr>
        <w:rFonts w:ascii="Helvetica" w:hAnsi="Helvetica"/>
        <w:sz w:val="20"/>
        <w:szCs w:val="20"/>
      </w:rPr>
    </w:pPr>
    <w:r w:rsidRPr="009255C7">
      <w:rPr>
        <w:rStyle w:val="Seitenzahl"/>
        <w:rFonts w:ascii="Helvetica" w:hAnsi="Helvetica"/>
        <w:sz w:val="20"/>
        <w:szCs w:val="20"/>
      </w:rPr>
      <w:fldChar w:fldCharType="begin"/>
    </w:r>
    <w:r w:rsidRPr="009255C7">
      <w:rPr>
        <w:rStyle w:val="Seitenzahl"/>
        <w:rFonts w:ascii="Helvetica" w:hAnsi="Helvetica"/>
        <w:sz w:val="20"/>
        <w:szCs w:val="20"/>
      </w:rPr>
      <w:instrText xml:space="preserve"> PAGE </w:instrText>
    </w:r>
    <w:r w:rsidRPr="009255C7">
      <w:rPr>
        <w:rStyle w:val="Seitenzahl"/>
        <w:rFonts w:ascii="Helvetica" w:hAnsi="Helvetica"/>
        <w:sz w:val="20"/>
        <w:szCs w:val="20"/>
      </w:rPr>
      <w:fldChar w:fldCharType="separate"/>
    </w:r>
    <w:r w:rsidR="00B730D5">
      <w:rPr>
        <w:rStyle w:val="Seitenzahl"/>
        <w:rFonts w:ascii="Helvetica" w:hAnsi="Helvetica"/>
        <w:noProof/>
        <w:sz w:val="20"/>
        <w:szCs w:val="20"/>
      </w:rPr>
      <w:t>6</w:t>
    </w:r>
    <w:r w:rsidRPr="009255C7">
      <w:rPr>
        <w:rStyle w:val="Seitenzahl"/>
        <w:rFonts w:ascii="Helvetica" w:hAnsi="Helvetic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EA17" w14:textId="2FCE5F10" w:rsidR="008973B6" w:rsidRPr="006C4482" w:rsidRDefault="008973B6" w:rsidP="006C4482">
    <w:pPr>
      <w:pStyle w:val="Fuzeile"/>
      <w:jc w:val="center"/>
      <w:rPr>
        <w:rFonts w:ascii="Helvetica" w:hAnsi="Helvetica"/>
        <w:sz w:val="20"/>
        <w:szCs w:val="20"/>
      </w:rPr>
    </w:pPr>
    <w:r w:rsidRPr="006C4482">
      <w:rPr>
        <w:rFonts w:ascii="Helvetica" w:hAnsi="Helvetica"/>
        <w:sz w:val="20"/>
        <w:szCs w:val="20"/>
      </w:rPr>
      <w:fldChar w:fldCharType="begin"/>
    </w:r>
    <w:r w:rsidRPr="006C4482">
      <w:rPr>
        <w:rFonts w:ascii="Helvetica" w:hAnsi="Helvetica"/>
        <w:sz w:val="20"/>
        <w:szCs w:val="20"/>
      </w:rPr>
      <w:instrText xml:space="preserve"> PAGE   \* MERGEFORMAT </w:instrText>
    </w:r>
    <w:r w:rsidRPr="006C4482">
      <w:rPr>
        <w:rFonts w:ascii="Helvetica" w:hAnsi="Helvetica"/>
        <w:sz w:val="20"/>
        <w:szCs w:val="20"/>
      </w:rPr>
      <w:fldChar w:fldCharType="separate"/>
    </w:r>
    <w:r w:rsidR="00B730D5">
      <w:rPr>
        <w:rFonts w:ascii="Helvetica" w:hAnsi="Helvetica"/>
        <w:noProof/>
        <w:sz w:val="20"/>
        <w:szCs w:val="20"/>
      </w:rPr>
      <w:t>10</w:t>
    </w:r>
    <w:r w:rsidRPr="006C4482">
      <w:rPr>
        <w:rFonts w:ascii="Helvetica" w:hAnsi="Helvetica"/>
        <w:noProof/>
        <w:sz w:val="20"/>
        <w:szCs w:val="20"/>
      </w:rPr>
      <w:fldChar w:fldCharType="end"/>
    </w:r>
  </w:p>
  <w:p w14:paraId="7BBBEA18" w14:textId="77777777" w:rsidR="008973B6" w:rsidRDefault="008973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53DCB" w14:textId="77777777" w:rsidR="00112E72" w:rsidRDefault="00112E72">
      <w:r>
        <w:separator/>
      </w:r>
    </w:p>
  </w:footnote>
  <w:footnote w:type="continuationSeparator" w:id="0">
    <w:p w14:paraId="79216DEA" w14:textId="77777777" w:rsidR="00112E72" w:rsidRDefault="00112E72">
      <w:r>
        <w:continuationSeparator/>
      </w:r>
    </w:p>
  </w:footnote>
  <w:footnote w:id="1">
    <w:p w14:paraId="1F141E8C" w14:textId="60E6879A" w:rsidR="003E1595" w:rsidRPr="00F667E1" w:rsidRDefault="003E1595" w:rsidP="003E1595">
      <w:pPr>
        <w:rPr>
          <w:rFonts w:ascii="Calibri" w:hAnsi="Calibri"/>
          <w:sz w:val="18"/>
          <w:szCs w:val="18"/>
        </w:rPr>
      </w:pPr>
      <w:r w:rsidRPr="00F667E1">
        <w:rPr>
          <w:rStyle w:val="Funotenzeichen"/>
          <w:rFonts w:ascii="Calibri" w:hAnsi="Calibri"/>
          <w:szCs w:val="18"/>
        </w:rPr>
        <w:footnoteRef/>
      </w:r>
      <w:r w:rsidRPr="00F667E1">
        <w:rPr>
          <w:rFonts w:ascii="Calibri" w:hAnsi="Calibri"/>
          <w:sz w:val="18"/>
          <w:szCs w:val="18"/>
        </w:rPr>
        <w:t xml:space="preserve"> </w:t>
      </w:r>
      <w:r w:rsidRPr="00F667E1">
        <w:rPr>
          <w:rFonts w:ascii="Calibri" w:hAnsi="Calibri" w:cs="Arial"/>
          <w:color w:val="000000"/>
          <w:sz w:val="18"/>
          <w:szCs w:val="18"/>
        </w:rPr>
        <w:t xml:space="preserve">The Role of Civil Society in the Reform Process in Jordan, </w:t>
      </w:r>
      <w:r w:rsidR="007E0086" w:rsidRPr="00F667E1">
        <w:rPr>
          <w:rFonts w:ascii="Calibri" w:hAnsi="Calibri" w:cs="Arial"/>
          <w:color w:val="000000"/>
          <w:sz w:val="18"/>
          <w:szCs w:val="18"/>
        </w:rPr>
        <w:t>Centre</w:t>
      </w:r>
      <w:r w:rsidRPr="00F667E1">
        <w:rPr>
          <w:rFonts w:ascii="Calibri" w:hAnsi="Calibri" w:cs="Arial"/>
          <w:color w:val="000000"/>
          <w:sz w:val="18"/>
          <w:szCs w:val="18"/>
        </w:rPr>
        <w:t xml:space="preserve"> for Strategic Studies, University of Jordan, 2014,</w:t>
      </w:r>
      <w:r>
        <w:rPr>
          <w:rFonts w:ascii="Calibri" w:hAnsi="Calibri" w:cs="Arial"/>
          <w:color w:val="000000"/>
          <w:sz w:val="18"/>
          <w:szCs w:val="18"/>
        </w:rPr>
        <w:t xml:space="preserve"> </w:t>
      </w:r>
      <w:hyperlink r:id="rId1" w:history="1">
        <w:r w:rsidRPr="00F667E1">
          <w:rPr>
            <w:rStyle w:val="Hyperlink"/>
            <w:rFonts w:ascii="Calibri" w:hAnsi="Calibri" w:cs="Arial"/>
            <w:color w:val="1155CC"/>
            <w:sz w:val="18"/>
            <w:szCs w:val="18"/>
          </w:rPr>
          <w:t>https://www.researchgate.net/publication/302582734_The_Role_of_Civil_Society_Organizations_in_the_Political_Reform_Process_in_Jordan</w:t>
        </w:r>
      </w:hyperlink>
      <w:r w:rsidRPr="00F667E1">
        <w:rPr>
          <w:rFonts w:ascii="Calibri" w:hAnsi="Calibri" w:cs="Arial"/>
          <w:color w:val="000000"/>
          <w:sz w:val="18"/>
          <w:szCs w:val="18"/>
        </w:rPr>
        <w:t xml:space="preserve"> </w:t>
      </w:r>
    </w:p>
  </w:footnote>
  <w:footnote w:id="2">
    <w:p w14:paraId="61E49DB3" w14:textId="77777777" w:rsidR="003E1595" w:rsidRPr="00F667E1" w:rsidRDefault="003E1595" w:rsidP="003E1595">
      <w:pPr>
        <w:pStyle w:val="StandardWeb"/>
        <w:spacing w:before="0" w:beforeAutospacing="0" w:after="0" w:afterAutospacing="0"/>
        <w:rPr>
          <w:rFonts w:ascii="Calibri" w:hAnsi="Calibri"/>
          <w:sz w:val="18"/>
          <w:szCs w:val="18"/>
        </w:rPr>
      </w:pPr>
      <w:r>
        <w:rPr>
          <w:rStyle w:val="Funotenzeichen"/>
        </w:rPr>
        <w:footnoteRef/>
      </w:r>
      <w:r>
        <w:t xml:space="preserve"> </w:t>
      </w:r>
      <w:r w:rsidRPr="00F667E1">
        <w:rPr>
          <w:rFonts w:ascii="Calibri" w:hAnsi="Calibri" w:cs="Arial"/>
          <w:color w:val="000000"/>
          <w:sz w:val="18"/>
          <w:szCs w:val="18"/>
        </w:rPr>
        <w:t xml:space="preserve">The Role of Civil Society in Jordan, AARD-Legal Aid, 2016, </w:t>
      </w:r>
    </w:p>
    <w:p w14:paraId="1A82C8C0" w14:textId="77777777" w:rsidR="003E1595" w:rsidRPr="00F667E1" w:rsidRDefault="003E1595" w:rsidP="003E1595">
      <w:pPr>
        <w:pStyle w:val="StandardWeb"/>
        <w:spacing w:before="0" w:beforeAutospacing="0" w:after="0" w:afterAutospacing="0"/>
        <w:rPr>
          <w:rFonts w:ascii="Calibri" w:hAnsi="Calibri"/>
          <w:sz w:val="18"/>
          <w:szCs w:val="18"/>
        </w:rPr>
      </w:pPr>
      <w:hyperlink r:id="rId2" w:history="1">
        <w:r w:rsidRPr="00F667E1">
          <w:rPr>
            <w:rStyle w:val="Hyperlink"/>
            <w:rFonts w:ascii="Calibri" w:hAnsi="Calibri" w:cs="Arial"/>
            <w:color w:val="1155CC"/>
            <w:sz w:val="18"/>
            <w:szCs w:val="18"/>
          </w:rPr>
          <w:t>http://ardd-jo.org/sites/default/files/resource-files/en_the_role_of_civil_society_in_jordan.pdf</w:t>
        </w:r>
      </w:hyperlink>
      <w:r w:rsidRPr="00F667E1">
        <w:rPr>
          <w:rFonts w:ascii="Calibri" w:hAnsi="Calibri" w:cs="Arial"/>
          <w:color w:val="000000"/>
          <w:sz w:val="18"/>
          <w:szCs w:val="18"/>
        </w:rPr>
        <w:t xml:space="preserve"> </w:t>
      </w:r>
    </w:p>
    <w:p w14:paraId="265C36BB" w14:textId="77777777" w:rsidR="003E1595" w:rsidRDefault="003E1595" w:rsidP="003E1595">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0F5D" w14:textId="7C10B478" w:rsidR="008973B6" w:rsidRPr="00312AC4" w:rsidRDefault="008973B6" w:rsidP="00531F2D">
    <w:pPr>
      <w:pStyle w:val="Kopfzeile"/>
      <w:tabs>
        <w:tab w:val="clear" w:pos="8306"/>
        <w:tab w:val="right" w:pos="9540"/>
      </w:tabs>
      <w:jc w:val="center"/>
      <w:rPr>
        <w:rFonts w:ascii="Helvetica" w:hAnsi="Helvetica"/>
        <w:sz w:val="16"/>
        <w:szCs w:val="16"/>
      </w:rPr>
    </w:pPr>
    <w:r w:rsidRPr="00312AC4">
      <w:rPr>
        <w:rFonts w:ascii="Helvetica" w:hAnsi="Helvetica"/>
        <w:bCs/>
        <w:sz w:val="16"/>
        <w:szCs w:val="16"/>
      </w:rPr>
      <w:t xml:space="preserve">UNDP Country </w:t>
    </w:r>
    <w:r>
      <w:rPr>
        <w:rFonts w:ascii="Helvetica" w:hAnsi="Helvetica"/>
        <w:bCs/>
        <w:sz w:val="16"/>
        <w:szCs w:val="16"/>
      </w:rPr>
      <w:t>Engagement Facility</w:t>
    </w:r>
    <w:r w:rsidRPr="00312AC4">
      <w:rPr>
        <w:rFonts w:ascii="Helvetica" w:hAnsi="Helvetica"/>
        <w:bCs/>
        <w:sz w:val="16"/>
        <w:szCs w:val="16"/>
      </w:rPr>
      <w:t>: Strengthening the Jordanian Parliament on SDGs and inclusive participation</w:t>
    </w:r>
    <w:r w:rsidRPr="00312AC4">
      <w:rPr>
        <w:rFonts w:ascii="Helvetica" w:hAnsi="Helvetica"/>
        <w:sz w:val="16"/>
        <w:szCs w:val="16"/>
      </w:rPr>
      <w:t xml:space="preserve"> (2018-2019)</w:t>
    </w:r>
  </w:p>
  <w:p w14:paraId="7BBBEA0E" w14:textId="24F73E46" w:rsidR="008973B6" w:rsidRPr="00531F2D" w:rsidRDefault="008973B6" w:rsidP="00453D4C">
    <w:pPr>
      <w:pStyle w:val="Kopfzeile"/>
      <w:tabs>
        <w:tab w:val="clear" w:pos="8306"/>
        <w:tab w:val="right" w:pos="9540"/>
      </w:tabs>
      <w:rPr>
        <w:rFonts w:ascii="Helvetica" w:hAnsi="Helvetica"/>
        <w:sz w:val="20"/>
        <w:szCs w:val="20"/>
      </w:rPr>
    </w:pPr>
    <w:r w:rsidRPr="00531F2D">
      <w:rPr>
        <w:rFonts w:ascii="Helvetica" w:hAnsi="Helvetica"/>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EA12" w14:textId="77777777" w:rsidR="008973B6" w:rsidRPr="00AF6E8B" w:rsidRDefault="008973B6" w:rsidP="001C3921">
    <w:pPr>
      <w:jc w:val="center"/>
      <w:rPr>
        <w:rFonts w:cs="Arial"/>
        <w:color w:val="002060"/>
        <w:sz w:val="20"/>
        <w:szCs w:val="20"/>
      </w:rPr>
    </w:pPr>
    <w:r w:rsidRPr="00AF6E8B">
      <w:rPr>
        <w:rFonts w:cs="Arial"/>
        <w:noProof/>
        <w:sz w:val="20"/>
        <w:szCs w:val="20"/>
        <w:lang w:eastAsia="en-GB"/>
      </w:rPr>
      <w:drawing>
        <wp:anchor distT="0" distB="0" distL="114300" distR="114300" simplePos="0" relativeHeight="251657728" behindDoc="0" locked="0" layoutInCell="1" allowOverlap="1" wp14:anchorId="7BBBEA1B" wp14:editId="7BBBEA1C">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7BBBEA13" w14:textId="77777777" w:rsidR="008973B6" w:rsidRPr="00AF6E8B" w:rsidRDefault="008973B6" w:rsidP="000776E9">
    <w:pPr>
      <w:rPr>
        <w:rFonts w:cs="Arial"/>
        <w:color w:val="002060"/>
      </w:rPr>
    </w:pPr>
  </w:p>
  <w:p w14:paraId="7BBBEA14" w14:textId="0B89011B" w:rsidR="008973B6" w:rsidRPr="00AF6E8B" w:rsidRDefault="008973B6" w:rsidP="000776E9">
    <w:pPr>
      <w:jc w:val="center"/>
      <w:rPr>
        <w:rFonts w:cs="Arial"/>
        <w:b/>
        <w:color w:val="002060"/>
        <w:sz w:val="20"/>
        <w:szCs w:val="20"/>
        <w:u w:val="single"/>
      </w:rPr>
    </w:pPr>
    <w:r>
      <w:rPr>
        <w:rFonts w:cs="Arial"/>
        <w:b/>
        <w:color w:val="002060"/>
        <w:sz w:val="20"/>
        <w:szCs w:val="20"/>
        <w:u w:val="single"/>
      </w:rPr>
      <w:t>COUNTRY ENGAGEMENT FACILITY</w:t>
    </w:r>
  </w:p>
  <w:p w14:paraId="7BBBEA15" w14:textId="5C92262F" w:rsidR="008973B6" w:rsidRPr="00AF6E8B" w:rsidRDefault="008973B6" w:rsidP="000776E9">
    <w:pPr>
      <w:jc w:val="center"/>
      <w:rPr>
        <w:rFonts w:cs="Arial"/>
        <w:b/>
        <w:i/>
        <w:color w:val="002060"/>
        <w:sz w:val="20"/>
        <w:szCs w:val="20"/>
        <w:u w:val="single"/>
      </w:rPr>
    </w:pPr>
    <w:r>
      <w:rPr>
        <w:rFonts w:cs="Arial"/>
        <w:b/>
        <w:i/>
        <w:color w:val="002060"/>
        <w:sz w:val="20"/>
        <w:szCs w:val="20"/>
        <w:u w:val="single"/>
      </w:rPr>
      <w:t>Country: Hashemite Kingdom of Jordan</w:t>
    </w:r>
  </w:p>
  <w:p w14:paraId="7BBBEA16" w14:textId="77777777" w:rsidR="008973B6" w:rsidRDefault="008973B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EA19" w14:textId="77777777" w:rsidR="008973B6" w:rsidRDefault="008973B6">
    <w:pPr>
      <w:pStyle w:val="Kopfzeile"/>
      <w:rPr>
        <w:b/>
        <w:szCs w:val="22"/>
      </w:rPr>
    </w:pPr>
  </w:p>
  <w:p w14:paraId="7BBBEA1A" w14:textId="77777777" w:rsidR="008973B6" w:rsidRPr="00DB520F" w:rsidRDefault="008973B6">
    <w:pPr>
      <w:pStyle w:val="Kopfzeile"/>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DD25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D29F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DEA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A8619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DA3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E834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31E91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F093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AB2CB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64BE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486C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D0862"/>
    <w:multiLevelType w:val="hybridMultilevel"/>
    <w:tmpl w:val="83DAB9E0"/>
    <w:lvl w:ilvl="0" w:tplc="408CAC52">
      <w:start w:val="1"/>
      <w:numFmt w:val="bullet"/>
      <w:lvlText w:val=""/>
      <w:lvlJc w:val="left"/>
      <w:pPr>
        <w:ind w:left="510" w:hanging="34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44773F"/>
    <w:multiLevelType w:val="hybridMultilevel"/>
    <w:tmpl w:val="9BC43D6C"/>
    <w:lvl w:ilvl="0" w:tplc="2F3CA0D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6" w15:restartNumberingAfterBreak="0">
    <w:nsid w:val="161277A5"/>
    <w:multiLevelType w:val="hybridMultilevel"/>
    <w:tmpl w:val="3A5EB242"/>
    <w:lvl w:ilvl="0" w:tplc="22BCD7B2">
      <w:start w:val="1"/>
      <w:numFmt w:val="upperRoman"/>
      <w:pStyle w:val="berschrift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B65876"/>
    <w:multiLevelType w:val="hybridMultilevel"/>
    <w:tmpl w:val="ED78C5A0"/>
    <w:lvl w:ilvl="0" w:tplc="408CAC52">
      <w:start w:val="1"/>
      <w:numFmt w:val="bullet"/>
      <w:lvlText w:val=""/>
      <w:lvlJc w:val="left"/>
      <w:pPr>
        <w:ind w:left="510" w:hanging="34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663EE"/>
    <w:multiLevelType w:val="hybridMultilevel"/>
    <w:tmpl w:val="EE1E7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F112C"/>
    <w:multiLevelType w:val="hybridMultilevel"/>
    <w:tmpl w:val="DFEE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F34A2"/>
    <w:multiLevelType w:val="hybridMultilevel"/>
    <w:tmpl w:val="E8D60338"/>
    <w:lvl w:ilvl="0" w:tplc="DAC43832">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A4DC7"/>
    <w:multiLevelType w:val="hybridMultilevel"/>
    <w:tmpl w:val="08FAB7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777FD7"/>
    <w:multiLevelType w:val="hybridMultilevel"/>
    <w:tmpl w:val="54DC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num>
  <w:num w:numId="3">
    <w:abstractNumId w:val="13"/>
  </w:num>
  <w:num w:numId="4">
    <w:abstractNumId w:val="21"/>
  </w:num>
  <w:num w:numId="5">
    <w:abstractNumId w:val="20"/>
  </w:num>
  <w:num w:numId="6">
    <w:abstractNumId w:val="26"/>
  </w:num>
  <w:num w:numId="7">
    <w:abstractNumId w:val="23"/>
  </w:num>
  <w:num w:numId="8">
    <w:abstractNumId w:val="12"/>
  </w:num>
  <w:num w:numId="9">
    <w:abstractNumId w:val="27"/>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15"/>
  </w:num>
  <w:num w:numId="24">
    <w:abstractNumId w:val="19"/>
  </w:num>
  <w:num w:numId="25">
    <w:abstractNumId w:val="18"/>
  </w:num>
  <w:num w:numId="26">
    <w:abstractNumId w:val="24"/>
  </w:num>
  <w:num w:numId="27">
    <w:abstractNumId w:val="11"/>
  </w:num>
  <w:num w:numId="28">
    <w:abstractNumId w:val="14"/>
  </w:num>
  <w:num w:numId="2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4667"/>
    <w:rsid w:val="000049CA"/>
    <w:rsid w:val="000057AA"/>
    <w:rsid w:val="000072CF"/>
    <w:rsid w:val="00007F1A"/>
    <w:rsid w:val="0001061E"/>
    <w:rsid w:val="00010930"/>
    <w:rsid w:val="0001182D"/>
    <w:rsid w:val="00011915"/>
    <w:rsid w:val="00012CAE"/>
    <w:rsid w:val="00014B16"/>
    <w:rsid w:val="000153FD"/>
    <w:rsid w:val="000154CA"/>
    <w:rsid w:val="000156C6"/>
    <w:rsid w:val="00015FF2"/>
    <w:rsid w:val="00016E2C"/>
    <w:rsid w:val="0001785A"/>
    <w:rsid w:val="00022440"/>
    <w:rsid w:val="00022DE9"/>
    <w:rsid w:val="00023963"/>
    <w:rsid w:val="00023F91"/>
    <w:rsid w:val="0002416F"/>
    <w:rsid w:val="0002535E"/>
    <w:rsid w:val="00025862"/>
    <w:rsid w:val="00025E6E"/>
    <w:rsid w:val="00027EE6"/>
    <w:rsid w:val="00030A48"/>
    <w:rsid w:val="00031E16"/>
    <w:rsid w:val="00031EB7"/>
    <w:rsid w:val="00032053"/>
    <w:rsid w:val="00033536"/>
    <w:rsid w:val="0003356C"/>
    <w:rsid w:val="0003461C"/>
    <w:rsid w:val="000364CB"/>
    <w:rsid w:val="000365AC"/>
    <w:rsid w:val="00041057"/>
    <w:rsid w:val="00041391"/>
    <w:rsid w:val="00041F71"/>
    <w:rsid w:val="00044525"/>
    <w:rsid w:val="00044654"/>
    <w:rsid w:val="00044655"/>
    <w:rsid w:val="00045552"/>
    <w:rsid w:val="00045877"/>
    <w:rsid w:val="00051C87"/>
    <w:rsid w:val="000523BC"/>
    <w:rsid w:val="00053160"/>
    <w:rsid w:val="00053313"/>
    <w:rsid w:val="00053557"/>
    <w:rsid w:val="0005468D"/>
    <w:rsid w:val="00055972"/>
    <w:rsid w:val="00056A7F"/>
    <w:rsid w:val="00057003"/>
    <w:rsid w:val="00060319"/>
    <w:rsid w:val="000606B1"/>
    <w:rsid w:val="000607BD"/>
    <w:rsid w:val="00060EC2"/>
    <w:rsid w:val="000615B0"/>
    <w:rsid w:val="00062A21"/>
    <w:rsid w:val="00062E78"/>
    <w:rsid w:val="00063144"/>
    <w:rsid w:val="00065162"/>
    <w:rsid w:val="00066567"/>
    <w:rsid w:val="00070F2A"/>
    <w:rsid w:val="000717D8"/>
    <w:rsid w:val="00071B6C"/>
    <w:rsid w:val="00071DEC"/>
    <w:rsid w:val="000734EF"/>
    <w:rsid w:val="00073A39"/>
    <w:rsid w:val="00074156"/>
    <w:rsid w:val="000748FE"/>
    <w:rsid w:val="000776E9"/>
    <w:rsid w:val="000818F5"/>
    <w:rsid w:val="0008221B"/>
    <w:rsid w:val="00082626"/>
    <w:rsid w:val="00082894"/>
    <w:rsid w:val="00082F9E"/>
    <w:rsid w:val="0008309A"/>
    <w:rsid w:val="00083D4D"/>
    <w:rsid w:val="00084487"/>
    <w:rsid w:val="00084F28"/>
    <w:rsid w:val="00085FD7"/>
    <w:rsid w:val="00086417"/>
    <w:rsid w:val="00090431"/>
    <w:rsid w:val="00090906"/>
    <w:rsid w:val="00092926"/>
    <w:rsid w:val="000929D3"/>
    <w:rsid w:val="00092A3C"/>
    <w:rsid w:val="000939D5"/>
    <w:rsid w:val="000946AF"/>
    <w:rsid w:val="00095314"/>
    <w:rsid w:val="0009565A"/>
    <w:rsid w:val="000958B0"/>
    <w:rsid w:val="000A04BA"/>
    <w:rsid w:val="000A0830"/>
    <w:rsid w:val="000A0874"/>
    <w:rsid w:val="000A0B82"/>
    <w:rsid w:val="000A2D88"/>
    <w:rsid w:val="000A5A14"/>
    <w:rsid w:val="000A5DD9"/>
    <w:rsid w:val="000A60FE"/>
    <w:rsid w:val="000B031C"/>
    <w:rsid w:val="000B063B"/>
    <w:rsid w:val="000B16DF"/>
    <w:rsid w:val="000B1C71"/>
    <w:rsid w:val="000B1DC7"/>
    <w:rsid w:val="000B3A46"/>
    <w:rsid w:val="000B3D30"/>
    <w:rsid w:val="000B4301"/>
    <w:rsid w:val="000B43AF"/>
    <w:rsid w:val="000B4494"/>
    <w:rsid w:val="000B48E2"/>
    <w:rsid w:val="000B4B2D"/>
    <w:rsid w:val="000B5CC2"/>
    <w:rsid w:val="000B660E"/>
    <w:rsid w:val="000B6775"/>
    <w:rsid w:val="000B6FBB"/>
    <w:rsid w:val="000B7A4C"/>
    <w:rsid w:val="000B7EE6"/>
    <w:rsid w:val="000C0D73"/>
    <w:rsid w:val="000C0E3F"/>
    <w:rsid w:val="000C49F5"/>
    <w:rsid w:val="000C4CCB"/>
    <w:rsid w:val="000C4DDD"/>
    <w:rsid w:val="000C6265"/>
    <w:rsid w:val="000D199D"/>
    <w:rsid w:val="000D1D66"/>
    <w:rsid w:val="000D65BC"/>
    <w:rsid w:val="000E11A8"/>
    <w:rsid w:val="000E1B4E"/>
    <w:rsid w:val="000E29A8"/>
    <w:rsid w:val="000E2AC6"/>
    <w:rsid w:val="000E2C61"/>
    <w:rsid w:val="000E506E"/>
    <w:rsid w:val="000E55EF"/>
    <w:rsid w:val="000E6909"/>
    <w:rsid w:val="000F0968"/>
    <w:rsid w:val="000F36D7"/>
    <w:rsid w:val="000F3904"/>
    <w:rsid w:val="000F476D"/>
    <w:rsid w:val="000F4EE2"/>
    <w:rsid w:val="000F4F87"/>
    <w:rsid w:val="000F517F"/>
    <w:rsid w:val="000F5F81"/>
    <w:rsid w:val="000F65F5"/>
    <w:rsid w:val="00100BBF"/>
    <w:rsid w:val="0010233D"/>
    <w:rsid w:val="00104191"/>
    <w:rsid w:val="0010455F"/>
    <w:rsid w:val="00104FDC"/>
    <w:rsid w:val="00105299"/>
    <w:rsid w:val="00106518"/>
    <w:rsid w:val="00107ECE"/>
    <w:rsid w:val="0011001B"/>
    <w:rsid w:val="001108F0"/>
    <w:rsid w:val="001111F1"/>
    <w:rsid w:val="00111FEF"/>
    <w:rsid w:val="00112AB1"/>
    <w:rsid w:val="00112E72"/>
    <w:rsid w:val="00113A56"/>
    <w:rsid w:val="001141FC"/>
    <w:rsid w:val="00114F23"/>
    <w:rsid w:val="00115EED"/>
    <w:rsid w:val="00116AD2"/>
    <w:rsid w:val="00116DF3"/>
    <w:rsid w:val="0012117F"/>
    <w:rsid w:val="0012170B"/>
    <w:rsid w:val="00121E6E"/>
    <w:rsid w:val="0012220A"/>
    <w:rsid w:val="00123727"/>
    <w:rsid w:val="001242DF"/>
    <w:rsid w:val="00124CDF"/>
    <w:rsid w:val="00127FDD"/>
    <w:rsid w:val="0013093C"/>
    <w:rsid w:val="00130AC0"/>
    <w:rsid w:val="00131DCD"/>
    <w:rsid w:val="0013760F"/>
    <w:rsid w:val="00137EB2"/>
    <w:rsid w:val="00140058"/>
    <w:rsid w:val="001411C6"/>
    <w:rsid w:val="00141363"/>
    <w:rsid w:val="00143F97"/>
    <w:rsid w:val="001441EC"/>
    <w:rsid w:val="001454D8"/>
    <w:rsid w:val="00145631"/>
    <w:rsid w:val="00146350"/>
    <w:rsid w:val="00146493"/>
    <w:rsid w:val="00146BF7"/>
    <w:rsid w:val="00146DAE"/>
    <w:rsid w:val="00146E48"/>
    <w:rsid w:val="00147411"/>
    <w:rsid w:val="001522D5"/>
    <w:rsid w:val="001535D9"/>
    <w:rsid w:val="001555BB"/>
    <w:rsid w:val="00155DA1"/>
    <w:rsid w:val="001562BF"/>
    <w:rsid w:val="00161626"/>
    <w:rsid w:val="0016393F"/>
    <w:rsid w:val="0016464E"/>
    <w:rsid w:val="00165343"/>
    <w:rsid w:val="00165DEA"/>
    <w:rsid w:val="00167101"/>
    <w:rsid w:val="00167302"/>
    <w:rsid w:val="001702AB"/>
    <w:rsid w:val="00171649"/>
    <w:rsid w:val="001725BB"/>
    <w:rsid w:val="0017452A"/>
    <w:rsid w:val="00174905"/>
    <w:rsid w:val="001761BD"/>
    <w:rsid w:val="00176799"/>
    <w:rsid w:val="0018046A"/>
    <w:rsid w:val="0018070E"/>
    <w:rsid w:val="00180F38"/>
    <w:rsid w:val="00181491"/>
    <w:rsid w:val="001828A0"/>
    <w:rsid w:val="00183C2F"/>
    <w:rsid w:val="00184097"/>
    <w:rsid w:val="001849FB"/>
    <w:rsid w:val="00184AA4"/>
    <w:rsid w:val="00185E47"/>
    <w:rsid w:val="00190860"/>
    <w:rsid w:val="00190F75"/>
    <w:rsid w:val="00192618"/>
    <w:rsid w:val="00194BA9"/>
    <w:rsid w:val="0019666D"/>
    <w:rsid w:val="00197728"/>
    <w:rsid w:val="00197A38"/>
    <w:rsid w:val="001A1150"/>
    <w:rsid w:val="001A449F"/>
    <w:rsid w:val="001A4DF7"/>
    <w:rsid w:val="001A5061"/>
    <w:rsid w:val="001A615C"/>
    <w:rsid w:val="001A6BF3"/>
    <w:rsid w:val="001B14E4"/>
    <w:rsid w:val="001B2BA9"/>
    <w:rsid w:val="001B2D28"/>
    <w:rsid w:val="001B30A4"/>
    <w:rsid w:val="001B33D4"/>
    <w:rsid w:val="001B3EF7"/>
    <w:rsid w:val="001B4533"/>
    <w:rsid w:val="001B45EC"/>
    <w:rsid w:val="001B57C5"/>
    <w:rsid w:val="001B5E3F"/>
    <w:rsid w:val="001B66A6"/>
    <w:rsid w:val="001B7B76"/>
    <w:rsid w:val="001C0394"/>
    <w:rsid w:val="001C0955"/>
    <w:rsid w:val="001C0CF1"/>
    <w:rsid w:val="001C138C"/>
    <w:rsid w:val="001C22D2"/>
    <w:rsid w:val="001C2367"/>
    <w:rsid w:val="001C2B00"/>
    <w:rsid w:val="001C3921"/>
    <w:rsid w:val="001C5460"/>
    <w:rsid w:val="001C60D2"/>
    <w:rsid w:val="001C6527"/>
    <w:rsid w:val="001C70AB"/>
    <w:rsid w:val="001D0B24"/>
    <w:rsid w:val="001D0F8F"/>
    <w:rsid w:val="001D1221"/>
    <w:rsid w:val="001D1EAD"/>
    <w:rsid w:val="001D49CD"/>
    <w:rsid w:val="001D5614"/>
    <w:rsid w:val="001D6049"/>
    <w:rsid w:val="001D70AA"/>
    <w:rsid w:val="001D7647"/>
    <w:rsid w:val="001D7F12"/>
    <w:rsid w:val="001E12ED"/>
    <w:rsid w:val="001E3B34"/>
    <w:rsid w:val="001E4B16"/>
    <w:rsid w:val="001E59C6"/>
    <w:rsid w:val="001F04C2"/>
    <w:rsid w:val="001F0F2D"/>
    <w:rsid w:val="001F1500"/>
    <w:rsid w:val="001F1525"/>
    <w:rsid w:val="001F1717"/>
    <w:rsid w:val="001F2B4C"/>
    <w:rsid w:val="001F343D"/>
    <w:rsid w:val="001F3576"/>
    <w:rsid w:val="001F4B06"/>
    <w:rsid w:val="001F51F2"/>
    <w:rsid w:val="001F60F5"/>
    <w:rsid w:val="001F7DD5"/>
    <w:rsid w:val="00202EC5"/>
    <w:rsid w:val="00203737"/>
    <w:rsid w:val="0020480B"/>
    <w:rsid w:val="00204E38"/>
    <w:rsid w:val="00204EEA"/>
    <w:rsid w:val="00204F04"/>
    <w:rsid w:val="002053AE"/>
    <w:rsid w:val="002061D4"/>
    <w:rsid w:val="002064F5"/>
    <w:rsid w:val="002078C3"/>
    <w:rsid w:val="00207C3F"/>
    <w:rsid w:val="00207C83"/>
    <w:rsid w:val="00210DCF"/>
    <w:rsid w:val="002110E8"/>
    <w:rsid w:val="00214FCC"/>
    <w:rsid w:val="00215008"/>
    <w:rsid w:val="00216441"/>
    <w:rsid w:val="002175FC"/>
    <w:rsid w:val="00220039"/>
    <w:rsid w:val="00220B52"/>
    <w:rsid w:val="00221CCB"/>
    <w:rsid w:val="00222B6F"/>
    <w:rsid w:val="00223247"/>
    <w:rsid w:val="00224B4E"/>
    <w:rsid w:val="002250C4"/>
    <w:rsid w:val="002256EB"/>
    <w:rsid w:val="00225BB5"/>
    <w:rsid w:val="00225EC5"/>
    <w:rsid w:val="00225F2F"/>
    <w:rsid w:val="00226D1B"/>
    <w:rsid w:val="0023110D"/>
    <w:rsid w:val="00231384"/>
    <w:rsid w:val="002317AF"/>
    <w:rsid w:val="00232C57"/>
    <w:rsid w:val="00233370"/>
    <w:rsid w:val="00235641"/>
    <w:rsid w:val="00235BF4"/>
    <w:rsid w:val="00235F3D"/>
    <w:rsid w:val="002367F0"/>
    <w:rsid w:val="00236B9C"/>
    <w:rsid w:val="00237A93"/>
    <w:rsid w:val="0024059E"/>
    <w:rsid w:val="0024180B"/>
    <w:rsid w:val="00241942"/>
    <w:rsid w:val="00241CDA"/>
    <w:rsid w:val="00242005"/>
    <w:rsid w:val="0024273F"/>
    <w:rsid w:val="0024292C"/>
    <w:rsid w:val="00243C19"/>
    <w:rsid w:val="00243C4B"/>
    <w:rsid w:val="0024437D"/>
    <w:rsid w:val="00244D07"/>
    <w:rsid w:val="00245A22"/>
    <w:rsid w:val="00245ED3"/>
    <w:rsid w:val="00246251"/>
    <w:rsid w:val="00246539"/>
    <w:rsid w:val="00246A04"/>
    <w:rsid w:val="00246BC6"/>
    <w:rsid w:val="002471C9"/>
    <w:rsid w:val="00247233"/>
    <w:rsid w:val="00247268"/>
    <w:rsid w:val="002503F9"/>
    <w:rsid w:val="0025288C"/>
    <w:rsid w:val="00254398"/>
    <w:rsid w:val="002545AD"/>
    <w:rsid w:val="00254E04"/>
    <w:rsid w:val="00254F75"/>
    <w:rsid w:val="0025523F"/>
    <w:rsid w:val="002558AC"/>
    <w:rsid w:val="00257320"/>
    <w:rsid w:val="00257674"/>
    <w:rsid w:val="00260A27"/>
    <w:rsid w:val="00260EA7"/>
    <w:rsid w:val="002611F8"/>
    <w:rsid w:val="00263161"/>
    <w:rsid w:val="00264658"/>
    <w:rsid w:val="00264750"/>
    <w:rsid w:val="00264CE8"/>
    <w:rsid w:val="00264CF7"/>
    <w:rsid w:val="002650C9"/>
    <w:rsid w:val="00266278"/>
    <w:rsid w:val="002678BD"/>
    <w:rsid w:val="0027052A"/>
    <w:rsid w:val="00272EB8"/>
    <w:rsid w:val="00274AD6"/>
    <w:rsid w:val="00274D63"/>
    <w:rsid w:val="002756F6"/>
    <w:rsid w:val="0027583C"/>
    <w:rsid w:val="00277329"/>
    <w:rsid w:val="00277783"/>
    <w:rsid w:val="00277FF0"/>
    <w:rsid w:val="00281E7F"/>
    <w:rsid w:val="00282FDF"/>
    <w:rsid w:val="00285421"/>
    <w:rsid w:val="0028618D"/>
    <w:rsid w:val="00287241"/>
    <w:rsid w:val="0029038E"/>
    <w:rsid w:val="002906AA"/>
    <w:rsid w:val="00291786"/>
    <w:rsid w:val="00292788"/>
    <w:rsid w:val="00293177"/>
    <w:rsid w:val="002936EF"/>
    <w:rsid w:val="00293D33"/>
    <w:rsid w:val="0029421D"/>
    <w:rsid w:val="00296B5B"/>
    <w:rsid w:val="00296F57"/>
    <w:rsid w:val="002A0800"/>
    <w:rsid w:val="002A0D43"/>
    <w:rsid w:val="002A2867"/>
    <w:rsid w:val="002A3CE5"/>
    <w:rsid w:val="002A4681"/>
    <w:rsid w:val="002A54A3"/>
    <w:rsid w:val="002A56D2"/>
    <w:rsid w:val="002A5C87"/>
    <w:rsid w:val="002A6344"/>
    <w:rsid w:val="002A669F"/>
    <w:rsid w:val="002A7441"/>
    <w:rsid w:val="002B0E4E"/>
    <w:rsid w:val="002B104C"/>
    <w:rsid w:val="002B185D"/>
    <w:rsid w:val="002B1A4A"/>
    <w:rsid w:val="002B323B"/>
    <w:rsid w:val="002B3DFB"/>
    <w:rsid w:val="002B42D9"/>
    <w:rsid w:val="002B4C82"/>
    <w:rsid w:val="002B6B25"/>
    <w:rsid w:val="002B7BD9"/>
    <w:rsid w:val="002B7D87"/>
    <w:rsid w:val="002C0F93"/>
    <w:rsid w:val="002C1205"/>
    <w:rsid w:val="002C120D"/>
    <w:rsid w:val="002C133E"/>
    <w:rsid w:val="002C26FB"/>
    <w:rsid w:val="002C2810"/>
    <w:rsid w:val="002C29A3"/>
    <w:rsid w:val="002C2F7E"/>
    <w:rsid w:val="002C3155"/>
    <w:rsid w:val="002C4BA4"/>
    <w:rsid w:val="002C4BEC"/>
    <w:rsid w:val="002C5AB4"/>
    <w:rsid w:val="002C5BAC"/>
    <w:rsid w:val="002C7759"/>
    <w:rsid w:val="002D0460"/>
    <w:rsid w:val="002D0CBD"/>
    <w:rsid w:val="002D17F8"/>
    <w:rsid w:val="002D1DE2"/>
    <w:rsid w:val="002D3AD4"/>
    <w:rsid w:val="002D4549"/>
    <w:rsid w:val="002D49DD"/>
    <w:rsid w:val="002D4D04"/>
    <w:rsid w:val="002D6031"/>
    <w:rsid w:val="002D7ADF"/>
    <w:rsid w:val="002E04B3"/>
    <w:rsid w:val="002E1192"/>
    <w:rsid w:val="002E1C28"/>
    <w:rsid w:val="002E370C"/>
    <w:rsid w:val="002E4658"/>
    <w:rsid w:val="002E4E50"/>
    <w:rsid w:val="002E7232"/>
    <w:rsid w:val="002E74DB"/>
    <w:rsid w:val="002F0219"/>
    <w:rsid w:val="002F1558"/>
    <w:rsid w:val="002F3343"/>
    <w:rsid w:val="002F614B"/>
    <w:rsid w:val="002F62CD"/>
    <w:rsid w:val="00302288"/>
    <w:rsid w:val="003023F4"/>
    <w:rsid w:val="003027DB"/>
    <w:rsid w:val="0030299F"/>
    <w:rsid w:val="00303A27"/>
    <w:rsid w:val="00303D06"/>
    <w:rsid w:val="003049B2"/>
    <w:rsid w:val="00304C69"/>
    <w:rsid w:val="003065F1"/>
    <w:rsid w:val="003069DF"/>
    <w:rsid w:val="0030798F"/>
    <w:rsid w:val="00311CD8"/>
    <w:rsid w:val="00312AC4"/>
    <w:rsid w:val="00312FAF"/>
    <w:rsid w:val="00314B45"/>
    <w:rsid w:val="00314CAF"/>
    <w:rsid w:val="003156E0"/>
    <w:rsid w:val="00315ADA"/>
    <w:rsid w:val="00315F9D"/>
    <w:rsid w:val="00316445"/>
    <w:rsid w:val="00316EAD"/>
    <w:rsid w:val="00320666"/>
    <w:rsid w:val="003208B8"/>
    <w:rsid w:val="00321193"/>
    <w:rsid w:val="00321457"/>
    <w:rsid w:val="0032302E"/>
    <w:rsid w:val="00323613"/>
    <w:rsid w:val="0032365E"/>
    <w:rsid w:val="0032476E"/>
    <w:rsid w:val="003248C7"/>
    <w:rsid w:val="003257DC"/>
    <w:rsid w:val="00327BE1"/>
    <w:rsid w:val="003302A2"/>
    <w:rsid w:val="00330CB4"/>
    <w:rsid w:val="003315F6"/>
    <w:rsid w:val="003316FC"/>
    <w:rsid w:val="00331AE1"/>
    <w:rsid w:val="00332D92"/>
    <w:rsid w:val="003330EC"/>
    <w:rsid w:val="0033441E"/>
    <w:rsid w:val="00335154"/>
    <w:rsid w:val="0033621C"/>
    <w:rsid w:val="00337A1D"/>
    <w:rsid w:val="00340E23"/>
    <w:rsid w:val="0034175D"/>
    <w:rsid w:val="00341905"/>
    <w:rsid w:val="00343C7E"/>
    <w:rsid w:val="00344F2C"/>
    <w:rsid w:val="0034529B"/>
    <w:rsid w:val="00345C2D"/>
    <w:rsid w:val="00345E85"/>
    <w:rsid w:val="0034663D"/>
    <w:rsid w:val="00346B6B"/>
    <w:rsid w:val="003508AE"/>
    <w:rsid w:val="00350CC5"/>
    <w:rsid w:val="00351551"/>
    <w:rsid w:val="00352CB2"/>
    <w:rsid w:val="00354616"/>
    <w:rsid w:val="0035546B"/>
    <w:rsid w:val="0035622A"/>
    <w:rsid w:val="00357A96"/>
    <w:rsid w:val="00361B0D"/>
    <w:rsid w:val="003634A7"/>
    <w:rsid w:val="003650E3"/>
    <w:rsid w:val="0036536B"/>
    <w:rsid w:val="00366081"/>
    <w:rsid w:val="003661DE"/>
    <w:rsid w:val="003678A9"/>
    <w:rsid w:val="00367AF4"/>
    <w:rsid w:val="00367E9B"/>
    <w:rsid w:val="0037132E"/>
    <w:rsid w:val="003714D3"/>
    <w:rsid w:val="00372236"/>
    <w:rsid w:val="00372722"/>
    <w:rsid w:val="0037308C"/>
    <w:rsid w:val="003731DF"/>
    <w:rsid w:val="00374262"/>
    <w:rsid w:val="003747AD"/>
    <w:rsid w:val="00375628"/>
    <w:rsid w:val="003758BF"/>
    <w:rsid w:val="00375CA3"/>
    <w:rsid w:val="0037620D"/>
    <w:rsid w:val="003765D4"/>
    <w:rsid w:val="003774DD"/>
    <w:rsid w:val="0037797A"/>
    <w:rsid w:val="00377A7A"/>
    <w:rsid w:val="00381E69"/>
    <w:rsid w:val="003825CA"/>
    <w:rsid w:val="003830B6"/>
    <w:rsid w:val="00383E6F"/>
    <w:rsid w:val="00385C66"/>
    <w:rsid w:val="0038628D"/>
    <w:rsid w:val="0038653E"/>
    <w:rsid w:val="00386971"/>
    <w:rsid w:val="003871E1"/>
    <w:rsid w:val="0039086C"/>
    <w:rsid w:val="003909AD"/>
    <w:rsid w:val="003927F3"/>
    <w:rsid w:val="00392A61"/>
    <w:rsid w:val="00392E99"/>
    <w:rsid w:val="00393A39"/>
    <w:rsid w:val="00394C21"/>
    <w:rsid w:val="00394DF2"/>
    <w:rsid w:val="00396601"/>
    <w:rsid w:val="00396EB2"/>
    <w:rsid w:val="00396F09"/>
    <w:rsid w:val="003A0844"/>
    <w:rsid w:val="003A0E46"/>
    <w:rsid w:val="003A15D0"/>
    <w:rsid w:val="003A16E2"/>
    <w:rsid w:val="003A24D1"/>
    <w:rsid w:val="003A436A"/>
    <w:rsid w:val="003A5787"/>
    <w:rsid w:val="003A6506"/>
    <w:rsid w:val="003A71CB"/>
    <w:rsid w:val="003B1B6B"/>
    <w:rsid w:val="003B2278"/>
    <w:rsid w:val="003B2372"/>
    <w:rsid w:val="003B2A5A"/>
    <w:rsid w:val="003B3FAE"/>
    <w:rsid w:val="003B455A"/>
    <w:rsid w:val="003B54A6"/>
    <w:rsid w:val="003B5934"/>
    <w:rsid w:val="003B6580"/>
    <w:rsid w:val="003B72CD"/>
    <w:rsid w:val="003C0017"/>
    <w:rsid w:val="003C0028"/>
    <w:rsid w:val="003C0FEB"/>
    <w:rsid w:val="003C108C"/>
    <w:rsid w:val="003C15F5"/>
    <w:rsid w:val="003C3F0A"/>
    <w:rsid w:val="003C4190"/>
    <w:rsid w:val="003C4481"/>
    <w:rsid w:val="003C5155"/>
    <w:rsid w:val="003C7251"/>
    <w:rsid w:val="003D0044"/>
    <w:rsid w:val="003D0562"/>
    <w:rsid w:val="003D0A31"/>
    <w:rsid w:val="003D1970"/>
    <w:rsid w:val="003D1E6D"/>
    <w:rsid w:val="003D2AEB"/>
    <w:rsid w:val="003D2B45"/>
    <w:rsid w:val="003D3799"/>
    <w:rsid w:val="003D4608"/>
    <w:rsid w:val="003D61C6"/>
    <w:rsid w:val="003D655F"/>
    <w:rsid w:val="003D7336"/>
    <w:rsid w:val="003D7CAD"/>
    <w:rsid w:val="003E068F"/>
    <w:rsid w:val="003E0D30"/>
    <w:rsid w:val="003E1595"/>
    <w:rsid w:val="003E49D4"/>
    <w:rsid w:val="003E4B63"/>
    <w:rsid w:val="003E651C"/>
    <w:rsid w:val="003E6656"/>
    <w:rsid w:val="003E6852"/>
    <w:rsid w:val="003F0B87"/>
    <w:rsid w:val="003F1A4C"/>
    <w:rsid w:val="003F2425"/>
    <w:rsid w:val="003F25C1"/>
    <w:rsid w:val="003F5742"/>
    <w:rsid w:val="003F6F61"/>
    <w:rsid w:val="003F7130"/>
    <w:rsid w:val="003F77BC"/>
    <w:rsid w:val="003F78D3"/>
    <w:rsid w:val="003F7DDB"/>
    <w:rsid w:val="0040026B"/>
    <w:rsid w:val="00402E7B"/>
    <w:rsid w:val="00406386"/>
    <w:rsid w:val="00406D07"/>
    <w:rsid w:val="004071AD"/>
    <w:rsid w:val="00410CE5"/>
    <w:rsid w:val="00411A74"/>
    <w:rsid w:val="00411F3F"/>
    <w:rsid w:val="004154AB"/>
    <w:rsid w:val="00415500"/>
    <w:rsid w:val="00415B9A"/>
    <w:rsid w:val="004175F5"/>
    <w:rsid w:val="00420C4E"/>
    <w:rsid w:val="00423833"/>
    <w:rsid w:val="00423D55"/>
    <w:rsid w:val="00424483"/>
    <w:rsid w:val="00425242"/>
    <w:rsid w:val="00425E37"/>
    <w:rsid w:val="004260A6"/>
    <w:rsid w:val="00426296"/>
    <w:rsid w:val="00426BB7"/>
    <w:rsid w:val="004271CA"/>
    <w:rsid w:val="00430597"/>
    <w:rsid w:val="0043121A"/>
    <w:rsid w:val="004315C4"/>
    <w:rsid w:val="00431BBE"/>
    <w:rsid w:val="00432924"/>
    <w:rsid w:val="00434403"/>
    <w:rsid w:val="0043514A"/>
    <w:rsid w:val="004369F6"/>
    <w:rsid w:val="004371B4"/>
    <w:rsid w:val="00440026"/>
    <w:rsid w:val="00440CE7"/>
    <w:rsid w:val="0044208F"/>
    <w:rsid w:val="0044243E"/>
    <w:rsid w:val="004426F5"/>
    <w:rsid w:val="00442996"/>
    <w:rsid w:val="00442B38"/>
    <w:rsid w:val="0044532D"/>
    <w:rsid w:val="00445633"/>
    <w:rsid w:val="00446219"/>
    <w:rsid w:val="0044673C"/>
    <w:rsid w:val="004501B9"/>
    <w:rsid w:val="00451245"/>
    <w:rsid w:val="0045198F"/>
    <w:rsid w:val="004525EE"/>
    <w:rsid w:val="0045263B"/>
    <w:rsid w:val="00452F86"/>
    <w:rsid w:val="0045303A"/>
    <w:rsid w:val="0045321A"/>
    <w:rsid w:val="00453D4C"/>
    <w:rsid w:val="00454397"/>
    <w:rsid w:val="004543FC"/>
    <w:rsid w:val="004563A1"/>
    <w:rsid w:val="00457107"/>
    <w:rsid w:val="004571D0"/>
    <w:rsid w:val="00457BAB"/>
    <w:rsid w:val="00460487"/>
    <w:rsid w:val="004606E0"/>
    <w:rsid w:val="004610EE"/>
    <w:rsid w:val="00462881"/>
    <w:rsid w:val="00463D63"/>
    <w:rsid w:val="00464440"/>
    <w:rsid w:val="0046507C"/>
    <w:rsid w:val="004659BD"/>
    <w:rsid w:val="00470ED1"/>
    <w:rsid w:val="004713E4"/>
    <w:rsid w:val="00472917"/>
    <w:rsid w:val="004734C3"/>
    <w:rsid w:val="00474E60"/>
    <w:rsid w:val="00474F52"/>
    <w:rsid w:val="004750A0"/>
    <w:rsid w:val="004756C8"/>
    <w:rsid w:val="00475EFE"/>
    <w:rsid w:val="00476127"/>
    <w:rsid w:val="0047726B"/>
    <w:rsid w:val="00477767"/>
    <w:rsid w:val="00477A12"/>
    <w:rsid w:val="00481250"/>
    <w:rsid w:val="00483469"/>
    <w:rsid w:val="004848D5"/>
    <w:rsid w:val="004853E4"/>
    <w:rsid w:val="00485CE1"/>
    <w:rsid w:val="00486E1F"/>
    <w:rsid w:val="004905F1"/>
    <w:rsid w:val="00491AE1"/>
    <w:rsid w:val="00491CD8"/>
    <w:rsid w:val="00493514"/>
    <w:rsid w:val="00493F6E"/>
    <w:rsid w:val="0049415E"/>
    <w:rsid w:val="00495469"/>
    <w:rsid w:val="004974BB"/>
    <w:rsid w:val="004A02F3"/>
    <w:rsid w:val="004A40D2"/>
    <w:rsid w:val="004A4786"/>
    <w:rsid w:val="004A48C0"/>
    <w:rsid w:val="004A7B64"/>
    <w:rsid w:val="004A7D2E"/>
    <w:rsid w:val="004B28EA"/>
    <w:rsid w:val="004B3FC4"/>
    <w:rsid w:val="004B4027"/>
    <w:rsid w:val="004B495B"/>
    <w:rsid w:val="004B6285"/>
    <w:rsid w:val="004B6EA2"/>
    <w:rsid w:val="004C2877"/>
    <w:rsid w:val="004C427B"/>
    <w:rsid w:val="004C4BB4"/>
    <w:rsid w:val="004C590C"/>
    <w:rsid w:val="004D07AA"/>
    <w:rsid w:val="004D0895"/>
    <w:rsid w:val="004D14B8"/>
    <w:rsid w:val="004D16E4"/>
    <w:rsid w:val="004D276E"/>
    <w:rsid w:val="004D3559"/>
    <w:rsid w:val="004D4E35"/>
    <w:rsid w:val="004D6098"/>
    <w:rsid w:val="004D6C36"/>
    <w:rsid w:val="004E026D"/>
    <w:rsid w:val="004E1CD9"/>
    <w:rsid w:val="004E2966"/>
    <w:rsid w:val="004E2AE3"/>
    <w:rsid w:val="004E2D9E"/>
    <w:rsid w:val="004E3827"/>
    <w:rsid w:val="004E4260"/>
    <w:rsid w:val="004E51CC"/>
    <w:rsid w:val="004E5745"/>
    <w:rsid w:val="004E5F09"/>
    <w:rsid w:val="004E787F"/>
    <w:rsid w:val="004F0A2A"/>
    <w:rsid w:val="004F2706"/>
    <w:rsid w:val="004F28ED"/>
    <w:rsid w:val="004F2A0D"/>
    <w:rsid w:val="004F30C3"/>
    <w:rsid w:val="004F35B2"/>
    <w:rsid w:val="004F3948"/>
    <w:rsid w:val="004F4E41"/>
    <w:rsid w:val="00503B06"/>
    <w:rsid w:val="00505008"/>
    <w:rsid w:val="00506CCB"/>
    <w:rsid w:val="005106F3"/>
    <w:rsid w:val="00511161"/>
    <w:rsid w:val="00513D3A"/>
    <w:rsid w:val="00516224"/>
    <w:rsid w:val="005176F1"/>
    <w:rsid w:val="00521699"/>
    <w:rsid w:val="005219C9"/>
    <w:rsid w:val="00521FA0"/>
    <w:rsid w:val="005223C2"/>
    <w:rsid w:val="005227F9"/>
    <w:rsid w:val="00523AD5"/>
    <w:rsid w:val="00524186"/>
    <w:rsid w:val="00524D1A"/>
    <w:rsid w:val="00525158"/>
    <w:rsid w:val="0052538A"/>
    <w:rsid w:val="00525831"/>
    <w:rsid w:val="00525CC1"/>
    <w:rsid w:val="00525D80"/>
    <w:rsid w:val="00526013"/>
    <w:rsid w:val="0052716D"/>
    <w:rsid w:val="005279BA"/>
    <w:rsid w:val="00530E17"/>
    <w:rsid w:val="00531F2D"/>
    <w:rsid w:val="00532F88"/>
    <w:rsid w:val="005343A8"/>
    <w:rsid w:val="0053649B"/>
    <w:rsid w:val="005368AF"/>
    <w:rsid w:val="00540303"/>
    <w:rsid w:val="00540411"/>
    <w:rsid w:val="005406E4"/>
    <w:rsid w:val="00540ADC"/>
    <w:rsid w:val="00541A3C"/>
    <w:rsid w:val="00541C34"/>
    <w:rsid w:val="00541FCA"/>
    <w:rsid w:val="005422B9"/>
    <w:rsid w:val="005430CD"/>
    <w:rsid w:val="00543ADB"/>
    <w:rsid w:val="005444FC"/>
    <w:rsid w:val="005447D0"/>
    <w:rsid w:val="0054595A"/>
    <w:rsid w:val="00545C84"/>
    <w:rsid w:val="00545D3E"/>
    <w:rsid w:val="00545EC0"/>
    <w:rsid w:val="00546159"/>
    <w:rsid w:val="005464FC"/>
    <w:rsid w:val="0054744C"/>
    <w:rsid w:val="00547813"/>
    <w:rsid w:val="0055013D"/>
    <w:rsid w:val="00551440"/>
    <w:rsid w:val="005521F5"/>
    <w:rsid w:val="005523F8"/>
    <w:rsid w:val="0055287F"/>
    <w:rsid w:val="0055464E"/>
    <w:rsid w:val="00555184"/>
    <w:rsid w:val="00555411"/>
    <w:rsid w:val="00562AE0"/>
    <w:rsid w:val="00563F84"/>
    <w:rsid w:val="00565DBA"/>
    <w:rsid w:val="00567F80"/>
    <w:rsid w:val="005704DE"/>
    <w:rsid w:val="0057058D"/>
    <w:rsid w:val="005722AF"/>
    <w:rsid w:val="005729FA"/>
    <w:rsid w:val="005731FC"/>
    <w:rsid w:val="00573229"/>
    <w:rsid w:val="00573FB1"/>
    <w:rsid w:val="00575FC5"/>
    <w:rsid w:val="00576696"/>
    <w:rsid w:val="00576F79"/>
    <w:rsid w:val="0057760A"/>
    <w:rsid w:val="00577DA4"/>
    <w:rsid w:val="0058020F"/>
    <w:rsid w:val="00580B82"/>
    <w:rsid w:val="005827B8"/>
    <w:rsid w:val="005828C6"/>
    <w:rsid w:val="00582E35"/>
    <w:rsid w:val="00583551"/>
    <w:rsid w:val="005841A5"/>
    <w:rsid w:val="005855D0"/>
    <w:rsid w:val="005859CD"/>
    <w:rsid w:val="005860B3"/>
    <w:rsid w:val="00586716"/>
    <w:rsid w:val="0058707C"/>
    <w:rsid w:val="00590EC3"/>
    <w:rsid w:val="00590FCC"/>
    <w:rsid w:val="005917DA"/>
    <w:rsid w:val="00591989"/>
    <w:rsid w:val="00591E78"/>
    <w:rsid w:val="00591EE4"/>
    <w:rsid w:val="00591FF5"/>
    <w:rsid w:val="00592F14"/>
    <w:rsid w:val="005931DB"/>
    <w:rsid w:val="005951BD"/>
    <w:rsid w:val="00596857"/>
    <w:rsid w:val="00596926"/>
    <w:rsid w:val="0059717C"/>
    <w:rsid w:val="00597E9E"/>
    <w:rsid w:val="00597EF5"/>
    <w:rsid w:val="005A1063"/>
    <w:rsid w:val="005A2DB4"/>
    <w:rsid w:val="005A4053"/>
    <w:rsid w:val="005A4A5F"/>
    <w:rsid w:val="005A4AE0"/>
    <w:rsid w:val="005A60A8"/>
    <w:rsid w:val="005A6357"/>
    <w:rsid w:val="005A6451"/>
    <w:rsid w:val="005A7714"/>
    <w:rsid w:val="005B1771"/>
    <w:rsid w:val="005B2B2F"/>
    <w:rsid w:val="005B30DA"/>
    <w:rsid w:val="005B4FA5"/>
    <w:rsid w:val="005C0D07"/>
    <w:rsid w:val="005C293B"/>
    <w:rsid w:val="005C2ED7"/>
    <w:rsid w:val="005C42B2"/>
    <w:rsid w:val="005C44F6"/>
    <w:rsid w:val="005C4635"/>
    <w:rsid w:val="005C5C80"/>
    <w:rsid w:val="005C603E"/>
    <w:rsid w:val="005C6EC3"/>
    <w:rsid w:val="005C6F95"/>
    <w:rsid w:val="005C7D9F"/>
    <w:rsid w:val="005D18D5"/>
    <w:rsid w:val="005D4B52"/>
    <w:rsid w:val="005D5D83"/>
    <w:rsid w:val="005D6161"/>
    <w:rsid w:val="005D65C8"/>
    <w:rsid w:val="005D69E3"/>
    <w:rsid w:val="005D77E2"/>
    <w:rsid w:val="005D7B63"/>
    <w:rsid w:val="005E35E6"/>
    <w:rsid w:val="005E3E9D"/>
    <w:rsid w:val="005E6B49"/>
    <w:rsid w:val="005E6EF0"/>
    <w:rsid w:val="005E763F"/>
    <w:rsid w:val="005E7904"/>
    <w:rsid w:val="005F2439"/>
    <w:rsid w:val="005F41A2"/>
    <w:rsid w:val="005F5487"/>
    <w:rsid w:val="005F69AB"/>
    <w:rsid w:val="00601694"/>
    <w:rsid w:val="00601850"/>
    <w:rsid w:val="006026EE"/>
    <w:rsid w:val="00603A45"/>
    <w:rsid w:val="00603F79"/>
    <w:rsid w:val="00606833"/>
    <w:rsid w:val="006103E6"/>
    <w:rsid w:val="00611B89"/>
    <w:rsid w:val="00612247"/>
    <w:rsid w:val="0061341C"/>
    <w:rsid w:val="00615267"/>
    <w:rsid w:val="0061587A"/>
    <w:rsid w:val="00615FEA"/>
    <w:rsid w:val="00616257"/>
    <w:rsid w:val="00616426"/>
    <w:rsid w:val="0062002D"/>
    <w:rsid w:val="0062045E"/>
    <w:rsid w:val="00621858"/>
    <w:rsid w:val="00623059"/>
    <w:rsid w:val="00623986"/>
    <w:rsid w:val="00623D9E"/>
    <w:rsid w:val="00624FFF"/>
    <w:rsid w:val="0062602A"/>
    <w:rsid w:val="00626A72"/>
    <w:rsid w:val="00626B6E"/>
    <w:rsid w:val="00626E83"/>
    <w:rsid w:val="006312D7"/>
    <w:rsid w:val="00631C98"/>
    <w:rsid w:val="0063455D"/>
    <w:rsid w:val="00634C6E"/>
    <w:rsid w:val="00635B19"/>
    <w:rsid w:val="00635DC2"/>
    <w:rsid w:val="006361D7"/>
    <w:rsid w:val="00640E0C"/>
    <w:rsid w:val="00640FC6"/>
    <w:rsid w:val="00641010"/>
    <w:rsid w:val="0064123B"/>
    <w:rsid w:val="00641E2D"/>
    <w:rsid w:val="0064206F"/>
    <w:rsid w:val="006428D0"/>
    <w:rsid w:val="00643FB3"/>
    <w:rsid w:val="0064552C"/>
    <w:rsid w:val="0064590D"/>
    <w:rsid w:val="00646397"/>
    <w:rsid w:val="00647372"/>
    <w:rsid w:val="00647BFB"/>
    <w:rsid w:val="00651808"/>
    <w:rsid w:val="00651875"/>
    <w:rsid w:val="00654BE9"/>
    <w:rsid w:val="0065590D"/>
    <w:rsid w:val="00656ADA"/>
    <w:rsid w:val="006572E0"/>
    <w:rsid w:val="00657F1B"/>
    <w:rsid w:val="006614C1"/>
    <w:rsid w:val="006615C8"/>
    <w:rsid w:val="00661658"/>
    <w:rsid w:val="00661669"/>
    <w:rsid w:val="0066183B"/>
    <w:rsid w:val="006626EC"/>
    <w:rsid w:val="00663193"/>
    <w:rsid w:val="006647A8"/>
    <w:rsid w:val="00665FAC"/>
    <w:rsid w:val="00666B7D"/>
    <w:rsid w:val="00667185"/>
    <w:rsid w:val="006671AA"/>
    <w:rsid w:val="00667218"/>
    <w:rsid w:val="006703D0"/>
    <w:rsid w:val="0067040B"/>
    <w:rsid w:val="006707E6"/>
    <w:rsid w:val="00671F2F"/>
    <w:rsid w:val="00672041"/>
    <w:rsid w:val="00672869"/>
    <w:rsid w:val="00672B17"/>
    <w:rsid w:val="00672D5E"/>
    <w:rsid w:val="00673B74"/>
    <w:rsid w:val="00673EBB"/>
    <w:rsid w:val="006755E9"/>
    <w:rsid w:val="00676924"/>
    <w:rsid w:val="00677A5E"/>
    <w:rsid w:val="00677D41"/>
    <w:rsid w:val="00681148"/>
    <w:rsid w:val="00681798"/>
    <w:rsid w:val="00681937"/>
    <w:rsid w:val="00681CE1"/>
    <w:rsid w:val="00681EB5"/>
    <w:rsid w:val="0068598F"/>
    <w:rsid w:val="00686E9D"/>
    <w:rsid w:val="00691138"/>
    <w:rsid w:val="00691C19"/>
    <w:rsid w:val="00691E74"/>
    <w:rsid w:val="00692D50"/>
    <w:rsid w:val="00694192"/>
    <w:rsid w:val="00695291"/>
    <w:rsid w:val="0069579A"/>
    <w:rsid w:val="00695C5D"/>
    <w:rsid w:val="00696233"/>
    <w:rsid w:val="006A0392"/>
    <w:rsid w:val="006A05E3"/>
    <w:rsid w:val="006A076B"/>
    <w:rsid w:val="006A21D0"/>
    <w:rsid w:val="006A2662"/>
    <w:rsid w:val="006A3629"/>
    <w:rsid w:val="006A63D1"/>
    <w:rsid w:val="006A7615"/>
    <w:rsid w:val="006B09B1"/>
    <w:rsid w:val="006B132E"/>
    <w:rsid w:val="006B1378"/>
    <w:rsid w:val="006B3189"/>
    <w:rsid w:val="006B3803"/>
    <w:rsid w:val="006B4B71"/>
    <w:rsid w:val="006B4F27"/>
    <w:rsid w:val="006B59BC"/>
    <w:rsid w:val="006B6BDD"/>
    <w:rsid w:val="006B7A90"/>
    <w:rsid w:val="006C0099"/>
    <w:rsid w:val="006C2099"/>
    <w:rsid w:val="006C3681"/>
    <w:rsid w:val="006C3698"/>
    <w:rsid w:val="006C3F7B"/>
    <w:rsid w:val="006C4482"/>
    <w:rsid w:val="006C4CFC"/>
    <w:rsid w:val="006C4F42"/>
    <w:rsid w:val="006C5062"/>
    <w:rsid w:val="006C5D67"/>
    <w:rsid w:val="006C65DF"/>
    <w:rsid w:val="006C6793"/>
    <w:rsid w:val="006D06A1"/>
    <w:rsid w:val="006D21D8"/>
    <w:rsid w:val="006D2C73"/>
    <w:rsid w:val="006D2CBF"/>
    <w:rsid w:val="006D37AA"/>
    <w:rsid w:val="006D384D"/>
    <w:rsid w:val="006D4430"/>
    <w:rsid w:val="006D4C53"/>
    <w:rsid w:val="006D58B9"/>
    <w:rsid w:val="006D7CA9"/>
    <w:rsid w:val="006D7DE0"/>
    <w:rsid w:val="006E012D"/>
    <w:rsid w:val="006E077C"/>
    <w:rsid w:val="006E0F36"/>
    <w:rsid w:val="006E116B"/>
    <w:rsid w:val="006E3197"/>
    <w:rsid w:val="006E6651"/>
    <w:rsid w:val="006E7AE0"/>
    <w:rsid w:val="006F1631"/>
    <w:rsid w:val="006F2142"/>
    <w:rsid w:val="006F2144"/>
    <w:rsid w:val="006F2738"/>
    <w:rsid w:val="006F39A0"/>
    <w:rsid w:val="006F4559"/>
    <w:rsid w:val="006F47AD"/>
    <w:rsid w:val="006F50AF"/>
    <w:rsid w:val="006F71FA"/>
    <w:rsid w:val="007008FA"/>
    <w:rsid w:val="00700D7C"/>
    <w:rsid w:val="0070209A"/>
    <w:rsid w:val="00703170"/>
    <w:rsid w:val="007049ED"/>
    <w:rsid w:val="00704E63"/>
    <w:rsid w:val="007073C1"/>
    <w:rsid w:val="00707B08"/>
    <w:rsid w:val="0071039A"/>
    <w:rsid w:val="00711378"/>
    <w:rsid w:val="00712256"/>
    <w:rsid w:val="00713BC9"/>
    <w:rsid w:val="007143D5"/>
    <w:rsid w:val="00714E05"/>
    <w:rsid w:val="0071574F"/>
    <w:rsid w:val="0071591D"/>
    <w:rsid w:val="00715EDA"/>
    <w:rsid w:val="007162B4"/>
    <w:rsid w:val="00716A83"/>
    <w:rsid w:val="0071758F"/>
    <w:rsid w:val="00717F4A"/>
    <w:rsid w:val="00720632"/>
    <w:rsid w:val="007229A8"/>
    <w:rsid w:val="00722FB5"/>
    <w:rsid w:val="007233EC"/>
    <w:rsid w:val="0072383C"/>
    <w:rsid w:val="007246FE"/>
    <w:rsid w:val="00724E5B"/>
    <w:rsid w:val="007252DD"/>
    <w:rsid w:val="00726194"/>
    <w:rsid w:val="00726E1C"/>
    <w:rsid w:val="00726F4D"/>
    <w:rsid w:val="00727882"/>
    <w:rsid w:val="0073343A"/>
    <w:rsid w:val="00736477"/>
    <w:rsid w:val="00736B72"/>
    <w:rsid w:val="00737E27"/>
    <w:rsid w:val="00740E60"/>
    <w:rsid w:val="00741085"/>
    <w:rsid w:val="007439FB"/>
    <w:rsid w:val="00743A2A"/>
    <w:rsid w:val="0074429C"/>
    <w:rsid w:val="007444F1"/>
    <w:rsid w:val="007473E3"/>
    <w:rsid w:val="00747551"/>
    <w:rsid w:val="007478B1"/>
    <w:rsid w:val="00750FFC"/>
    <w:rsid w:val="00753AA0"/>
    <w:rsid w:val="00753AF6"/>
    <w:rsid w:val="00753CC9"/>
    <w:rsid w:val="00757D8F"/>
    <w:rsid w:val="00760587"/>
    <w:rsid w:val="007622B3"/>
    <w:rsid w:val="007630E2"/>
    <w:rsid w:val="00770C66"/>
    <w:rsid w:val="00770DC8"/>
    <w:rsid w:val="00773141"/>
    <w:rsid w:val="0077331E"/>
    <w:rsid w:val="00774B54"/>
    <w:rsid w:val="00775445"/>
    <w:rsid w:val="00776236"/>
    <w:rsid w:val="007766F6"/>
    <w:rsid w:val="00777818"/>
    <w:rsid w:val="00780121"/>
    <w:rsid w:val="00780887"/>
    <w:rsid w:val="00782659"/>
    <w:rsid w:val="00782B2D"/>
    <w:rsid w:val="00784B83"/>
    <w:rsid w:val="00786926"/>
    <w:rsid w:val="007874FF"/>
    <w:rsid w:val="007877D6"/>
    <w:rsid w:val="007878A9"/>
    <w:rsid w:val="00790004"/>
    <w:rsid w:val="00790C9B"/>
    <w:rsid w:val="007938D0"/>
    <w:rsid w:val="00793967"/>
    <w:rsid w:val="00794611"/>
    <w:rsid w:val="00796A41"/>
    <w:rsid w:val="00797DB2"/>
    <w:rsid w:val="007A09E0"/>
    <w:rsid w:val="007A0CCB"/>
    <w:rsid w:val="007A2368"/>
    <w:rsid w:val="007A2D91"/>
    <w:rsid w:val="007A3CC6"/>
    <w:rsid w:val="007A63AC"/>
    <w:rsid w:val="007A70D8"/>
    <w:rsid w:val="007A7BBA"/>
    <w:rsid w:val="007B0DB7"/>
    <w:rsid w:val="007B131F"/>
    <w:rsid w:val="007B1D5A"/>
    <w:rsid w:val="007B277B"/>
    <w:rsid w:val="007B2911"/>
    <w:rsid w:val="007B62FA"/>
    <w:rsid w:val="007B65C4"/>
    <w:rsid w:val="007C0B75"/>
    <w:rsid w:val="007C0C9A"/>
    <w:rsid w:val="007C3273"/>
    <w:rsid w:val="007C4389"/>
    <w:rsid w:val="007C5423"/>
    <w:rsid w:val="007C6793"/>
    <w:rsid w:val="007C6ECE"/>
    <w:rsid w:val="007D001B"/>
    <w:rsid w:val="007D05FC"/>
    <w:rsid w:val="007D2886"/>
    <w:rsid w:val="007D3487"/>
    <w:rsid w:val="007D4663"/>
    <w:rsid w:val="007D4703"/>
    <w:rsid w:val="007D6D7F"/>
    <w:rsid w:val="007D78AF"/>
    <w:rsid w:val="007D792E"/>
    <w:rsid w:val="007E0086"/>
    <w:rsid w:val="007E25BE"/>
    <w:rsid w:val="007E2F6E"/>
    <w:rsid w:val="007E31E2"/>
    <w:rsid w:val="007E532A"/>
    <w:rsid w:val="007E68FF"/>
    <w:rsid w:val="007E79C2"/>
    <w:rsid w:val="007F037D"/>
    <w:rsid w:val="007F0CD4"/>
    <w:rsid w:val="007F1A4F"/>
    <w:rsid w:val="007F27D0"/>
    <w:rsid w:val="007F2CC3"/>
    <w:rsid w:val="007F3F44"/>
    <w:rsid w:val="007F4384"/>
    <w:rsid w:val="007F45FE"/>
    <w:rsid w:val="007F7673"/>
    <w:rsid w:val="0080087A"/>
    <w:rsid w:val="00802085"/>
    <w:rsid w:val="008030F2"/>
    <w:rsid w:val="008064E6"/>
    <w:rsid w:val="00806664"/>
    <w:rsid w:val="0080775F"/>
    <w:rsid w:val="00810DF1"/>
    <w:rsid w:val="00810E10"/>
    <w:rsid w:val="0081126A"/>
    <w:rsid w:val="00812146"/>
    <w:rsid w:val="00812B73"/>
    <w:rsid w:val="00812E6E"/>
    <w:rsid w:val="008139C6"/>
    <w:rsid w:val="0081486B"/>
    <w:rsid w:val="008148E9"/>
    <w:rsid w:val="00814E8B"/>
    <w:rsid w:val="00815892"/>
    <w:rsid w:val="0081615D"/>
    <w:rsid w:val="0081619F"/>
    <w:rsid w:val="00817078"/>
    <w:rsid w:val="00821E53"/>
    <w:rsid w:val="00822473"/>
    <w:rsid w:val="008224ED"/>
    <w:rsid w:val="008225DA"/>
    <w:rsid w:val="00822E9C"/>
    <w:rsid w:val="008232AB"/>
    <w:rsid w:val="00823ADB"/>
    <w:rsid w:val="0082465C"/>
    <w:rsid w:val="0082472F"/>
    <w:rsid w:val="008262CB"/>
    <w:rsid w:val="00826742"/>
    <w:rsid w:val="00826EA0"/>
    <w:rsid w:val="0082707E"/>
    <w:rsid w:val="00827F98"/>
    <w:rsid w:val="00827FB8"/>
    <w:rsid w:val="00830994"/>
    <w:rsid w:val="0083109F"/>
    <w:rsid w:val="008320BF"/>
    <w:rsid w:val="00834729"/>
    <w:rsid w:val="00834D8E"/>
    <w:rsid w:val="008356A7"/>
    <w:rsid w:val="00835A6E"/>
    <w:rsid w:val="008400E8"/>
    <w:rsid w:val="008424BF"/>
    <w:rsid w:val="00843654"/>
    <w:rsid w:val="008443F5"/>
    <w:rsid w:val="00844DE9"/>
    <w:rsid w:val="00846274"/>
    <w:rsid w:val="00847E37"/>
    <w:rsid w:val="00850C9A"/>
    <w:rsid w:val="00852060"/>
    <w:rsid w:val="008521F3"/>
    <w:rsid w:val="0085364A"/>
    <w:rsid w:val="00853AC4"/>
    <w:rsid w:val="00853E07"/>
    <w:rsid w:val="00854AB7"/>
    <w:rsid w:val="0085589D"/>
    <w:rsid w:val="00856A2C"/>
    <w:rsid w:val="00856C6B"/>
    <w:rsid w:val="00860544"/>
    <w:rsid w:val="008605D1"/>
    <w:rsid w:val="00860E3B"/>
    <w:rsid w:val="0086271C"/>
    <w:rsid w:val="0086371F"/>
    <w:rsid w:val="00863A29"/>
    <w:rsid w:val="00863F46"/>
    <w:rsid w:val="00863FA1"/>
    <w:rsid w:val="008665C2"/>
    <w:rsid w:val="00867DDE"/>
    <w:rsid w:val="00870978"/>
    <w:rsid w:val="00870E11"/>
    <w:rsid w:val="0087104D"/>
    <w:rsid w:val="0087109E"/>
    <w:rsid w:val="00871229"/>
    <w:rsid w:val="008723FD"/>
    <w:rsid w:val="00874F68"/>
    <w:rsid w:val="00875895"/>
    <w:rsid w:val="008767C2"/>
    <w:rsid w:val="00876BCE"/>
    <w:rsid w:val="0087703C"/>
    <w:rsid w:val="0088148A"/>
    <w:rsid w:val="008824E2"/>
    <w:rsid w:val="0088477A"/>
    <w:rsid w:val="00884CDD"/>
    <w:rsid w:val="00886969"/>
    <w:rsid w:val="00886C14"/>
    <w:rsid w:val="00886DEA"/>
    <w:rsid w:val="00887684"/>
    <w:rsid w:val="00887BB9"/>
    <w:rsid w:val="00891E80"/>
    <w:rsid w:val="00892B74"/>
    <w:rsid w:val="00893728"/>
    <w:rsid w:val="008949B6"/>
    <w:rsid w:val="00894D47"/>
    <w:rsid w:val="00895482"/>
    <w:rsid w:val="00895BE5"/>
    <w:rsid w:val="00895D41"/>
    <w:rsid w:val="008973B6"/>
    <w:rsid w:val="008A2033"/>
    <w:rsid w:val="008A61EB"/>
    <w:rsid w:val="008B2D4D"/>
    <w:rsid w:val="008B2E3A"/>
    <w:rsid w:val="008B5186"/>
    <w:rsid w:val="008B6111"/>
    <w:rsid w:val="008B637B"/>
    <w:rsid w:val="008B679B"/>
    <w:rsid w:val="008B681D"/>
    <w:rsid w:val="008B771F"/>
    <w:rsid w:val="008C0260"/>
    <w:rsid w:val="008C02D7"/>
    <w:rsid w:val="008C0E2C"/>
    <w:rsid w:val="008C1B73"/>
    <w:rsid w:val="008C2EDC"/>
    <w:rsid w:val="008C3B1E"/>
    <w:rsid w:val="008C6272"/>
    <w:rsid w:val="008C758C"/>
    <w:rsid w:val="008D1171"/>
    <w:rsid w:val="008D1DE5"/>
    <w:rsid w:val="008D348B"/>
    <w:rsid w:val="008D3911"/>
    <w:rsid w:val="008D3B05"/>
    <w:rsid w:val="008D486A"/>
    <w:rsid w:val="008D552A"/>
    <w:rsid w:val="008D78A0"/>
    <w:rsid w:val="008E0383"/>
    <w:rsid w:val="008E16D1"/>
    <w:rsid w:val="008E1C89"/>
    <w:rsid w:val="008E2627"/>
    <w:rsid w:val="008E31DD"/>
    <w:rsid w:val="008E38A9"/>
    <w:rsid w:val="008E627A"/>
    <w:rsid w:val="008E6363"/>
    <w:rsid w:val="008E7428"/>
    <w:rsid w:val="008F1069"/>
    <w:rsid w:val="008F1124"/>
    <w:rsid w:val="008F17A3"/>
    <w:rsid w:val="008F2166"/>
    <w:rsid w:val="008F2ED5"/>
    <w:rsid w:val="008F2F87"/>
    <w:rsid w:val="008F3192"/>
    <w:rsid w:val="008F571A"/>
    <w:rsid w:val="008F641B"/>
    <w:rsid w:val="008F6806"/>
    <w:rsid w:val="008F6A20"/>
    <w:rsid w:val="008F6B1A"/>
    <w:rsid w:val="008F7FCB"/>
    <w:rsid w:val="00900031"/>
    <w:rsid w:val="00900CC4"/>
    <w:rsid w:val="00901C7D"/>
    <w:rsid w:val="0090321F"/>
    <w:rsid w:val="009032C1"/>
    <w:rsid w:val="00904D59"/>
    <w:rsid w:val="00904F34"/>
    <w:rsid w:val="009051E6"/>
    <w:rsid w:val="00905928"/>
    <w:rsid w:val="00905FEF"/>
    <w:rsid w:val="00906F15"/>
    <w:rsid w:val="00906FB9"/>
    <w:rsid w:val="00911002"/>
    <w:rsid w:val="00912009"/>
    <w:rsid w:val="00912142"/>
    <w:rsid w:val="00912A86"/>
    <w:rsid w:val="009132E5"/>
    <w:rsid w:val="00914264"/>
    <w:rsid w:val="00914854"/>
    <w:rsid w:val="00914E53"/>
    <w:rsid w:val="00916723"/>
    <w:rsid w:val="0091762B"/>
    <w:rsid w:val="00917704"/>
    <w:rsid w:val="00917A15"/>
    <w:rsid w:val="0092217F"/>
    <w:rsid w:val="009236E5"/>
    <w:rsid w:val="00923B45"/>
    <w:rsid w:val="0092418A"/>
    <w:rsid w:val="00924BB4"/>
    <w:rsid w:val="009255C7"/>
    <w:rsid w:val="00925A19"/>
    <w:rsid w:val="009266B3"/>
    <w:rsid w:val="00927C20"/>
    <w:rsid w:val="00931284"/>
    <w:rsid w:val="009326DA"/>
    <w:rsid w:val="009328AD"/>
    <w:rsid w:val="00932D6E"/>
    <w:rsid w:val="00932FCB"/>
    <w:rsid w:val="00933D50"/>
    <w:rsid w:val="00933E2C"/>
    <w:rsid w:val="009343ED"/>
    <w:rsid w:val="009344EB"/>
    <w:rsid w:val="009354D5"/>
    <w:rsid w:val="009357D5"/>
    <w:rsid w:val="009359D2"/>
    <w:rsid w:val="009403A3"/>
    <w:rsid w:val="0094068D"/>
    <w:rsid w:val="009446C3"/>
    <w:rsid w:val="009473C2"/>
    <w:rsid w:val="00953E55"/>
    <w:rsid w:val="00954600"/>
    <w:rsid w:val="009551D3"/>
    <w:rsid w:val="009558F8"/>
    <w:rsid w:val="00955924"/>
    <w:rsid w:val="00955F91"/>
    <w:rsid w:val="00956FAD"/>
    <w:rsid w:val="00962E7C"/>
    <w:rsid w:val="00962F3B"/>
    <w:rsid w:val="00962FFA"/>
    <w:rsid w:val="00965CED"/>
    <w:rsid w:val="00966F29"/>
    <w:rsid w:val="0096742D"/>
    <w:rsid w:val="009674BA"/>
    <w:rsid w:val="009678C6"/>
    <w:rsid w:val="009704F7"/>
    <w:rsid w:val="00970935"/>
    <w:rsid w:val="00971060"/>
    <w:rsid w:val="00971F05"/>
    <w:rsid w:val="0097451C"/>
    <w:rsid w:val="009758DC"/>
    <w:rsid w:val="00975B6C"/>
    <w:rsid w:val="0097748E"/>
    <w:rsid w:val="009774A5"/>
    <w:rsid w:val="009775E4"/>
    <w:rsid w:val="00981E70"/>
    <w:rsid w:val="00984739"/>
    <w:rsid w:val="009848F4"/>
    <w:rsid w:val="00985B88"/>
    <w:rsid w:val="0098604D"/>
    <w:rsid w:val="009900ED"/>
    <w:rsid w:val="00990282"/>
    <w:rsid w:val="00990EAC"/>
    <w:rsid w:val="009914EE"/>
    <w:rsid w:val="00991FF7"/>
    <w:rsid w:val="00992345"/>
    <w:rsid w:val="00992903"/>
    <w:rsid w:val="00993A88"/>
    <w:rsid w:val="00993E2A"/>
    <w:rsid w:val="009941E9"/>
    <w:rsid w:val="0099474D"/>
    <w:rsid w:val="0099612A"/>
    <w:rsid w:val="00996F92"/>
    <w:rsid w:val="00997540"/>
    <w:rsid w:val="009A07EC"/>
    <w:rsid w:val="009A1B61"/>
    <w:rsid w:val="009A38BA"/>
    <w:rsid w:val="009A4A35"/>
    <w:rsid w:val="009A5C10"/>
    <w:rsid w:val="009A6261"/>
    <w:rsid w:val="009A66C3"/>
    <w:rsid w:val="009A6FA6"/>
    <w:rsid w:val="009B319A"/>
    <w:rsid w:val="009B3235"/>
    <w:rsid w:val="009B3301"/>
    <w:rsid w:val="009B35B7"/>
    <w:rsid w:val="009B4771"/>
    <w:rsid w:val="009B63D7"/>
    <w:rsid w:val="009B77F4"/>
    <w:rsid w:val="009C1A3F"/>
    <w:rsid w:val="009C27EC"/>
    <w:rsid w:val="009C2CAD"/>
    <w:rsid w:val="009C356D"/>
    <w:rsid w:val="009C4F0B"/>
    <w:rsid w:val="009C5406"/>
    <w:rsid w:val="009C5AD6"/>
    <w:rsid w:val="009C6858"/>
    <w:rsid w:val="009C6D31"/>
    <w:rsid w:val="009D0068"/>
    <w:rsid w:val="009D068E"/>
    <w:rsid w:val="009D071B"/>
    <w:rsid w:val="009D0B59"/>
    <w:rsid w:val="009D1644"/>
    <w:rsid w:val="009D398E"/>
    <w:rsid w:val="009D40D0"/>
    <w:rsid w:val="009D4C0D"/>
    <w:rsid w:val="009D5C82"/>
    <w:rsid w:val="009D791F"/>
    <w:rsid w:val="009E00CF"/>
    <w:rsid w:val="009E110C"/>
    <w:rsid w:val="009E1A99"/>
    <w:rsid w:val="009E2DDB"/>
    <w:rsid w:val="009E4693"/>
    <w:rsid w:val="009E47D6"/>
    <w:rsid w:val="009E50D8"/>
    <w:rsid w:val="009E51E0"/>
    <w:rsid w:val="009E5CFD"/>
    <w:rsid w:val="009E6E24"/>
    <w:rsid w:val="009E7874"/>
    <w:rsid w:val="009F03D6"/>
    <w:rsid w:val="009F0556"/>
    <w:rsid w:val="009F0B17"/>
    <w:rsid w:val="009F11D8"/>
    <w:rsid w:val="009F18E1"/>
    <w:rsid w:val="009F4891"/>
    <w:rsid w:val="009F5081"/>
    <w:rsid w:val="009F668B"/>
    <w:rsid w:val="009F6B87"/>
    <w:rsid w:val="009F7038"/>
    <w:rsid w:val="009F70F1"/>
    <w:rsid w:val="00A00662"/>
    <w:rsid w:val="00A00AAB"/>
    <w:rsid w:val="00A00B23"/>
    <w:rsid w:val="00A02DE8"/>
    <w:rsid w:val="00A045B6"/>
    <w:rsid w:val="00A04EB0"/>
    <w:rsid w:val="00A075E2"/>
    <w:rsid w:val="00A077E0"/>
    <w:rsid w:val="00A10E61"/>
    <w:rsid w:val="00A12A67"/>
    <w:rsid w:val="00A13CBA"/>
    <w:rsid w:val="00A149BD"/>
    <w:rsid w:val="00A16708"/>
    <w:rsid w:val="00A16F1B"/>
    <w:rsid w:val="00A224CB"/>
    <w:rsid w:val="00A22D5B"/>
    <w:rsid w:val="00A231DA"/>
    <w:rsid w:val="00A23B5D"/>
    <w:rsid w:val="00A25050"/>
    <w:rsid w:val="00A255DB"/>
    <w:rsid w:val="00A268EB"/>
    <w:rsid w:val="00A30558"/>
    <w:rsid w:val="00A3213F"/>
    <w:rsid w:val="00A32AE2"/>
    <w:rsid w:val="00A33171"/>
    <w:rsid w:val="00A33E3A"/>
    <w:rsid w:val="00A34837"/>
    <w:rsid w:val="00A349F2"/>
    <w:rsid w:val="00A36071"/>
    <w:rsid w:val="00A3695F"/>
    <w:rsid w:val="00A378C4"/>
    <w:rsid w:val="00A40B68"/>
    <w:rsid w:val="00A40CBE"/>
    <w:rsid w:val="00A40DE0"/>
    <w:rsid w:val="00A41C4B"/>
    <w:rsid w:val="00A41F5A"/>
    <w:rsid w:val="00A42184"/>
    <w:rsid w:val="00A427A8"/>
    <w:rsid w:val="00A42829"/>
    <w:rsid w:val="00A428C4"/>
    <w:rsid w:val="00A433F8"/>
    <w:rsid w:val="00A447D3"/>
    <w:rsid w:val="00A44EC7"/>
    <w:rsid w:val="00A45138"/>
    <w:rsid w:val="00A459F8"/>
    <w:rsid w:val="00A45B78"/>
    <w:rsid w:val="00A4602F"/>
    <w:rsid w:val="00A47729"/>
    <w:rsid w:val="00A47FA2"/>
    <w:rsid w:val="00A54034"/>
    <w:rsid w:val="00A549E2"/>
    <w:rsid w:val="00A54A1F"/>
    <w:rsid w:val="00A54FB3"/>
    <w:rsid w:val="00A551B7"/>
    <w:rsid w:val="00A55901"/>
    <w:rsid w:val="00A568AA"/>
    <w:rsid w:val="00A56DAE"/>
    <w:rsid w:val="00A60BA7"/>
    <w:rsid w:val="00A61DC1"/>
    <w:rsid w:val="00A6266E"/>
    <w:rsid w:val="00A63B51"/>
    <w:rsid w:val="00A64510"/>
    <w:rsid w:val="00A6485F"/>
    <w:rsid w:val="00A649DE"/>
    <w:rsid w:val="00A649EC"/>
    <w:rsid w:val="00A64B7D"/>
    <w:rsid w:val="00A64F0F"/>
    <w:rsid w:val="00A6521D"/>
    <w:rsid w:val="00A65407"/>
    <w:rsid w:val="00A66243"/>
    <w:rsid w:val="00A6671C"/>
    <w:rsid w:val="00A67568"/>
    <w:rsid w:val="00A6774E"/>
    <w:rsid w:val="00A67E7A"/>
    <w:rsid w:val="00A7041F"/>
    <w:rsid w:val="00A7443B"/>
    <w:rsid w:val="00A77760"/>
    <w:rsid w:val="00A779BE"/>
    <w:rsid w:val="00A77D43"/>
    <w:rsid w:val="00A82992"/>
    <w:rsid w:val="00A82A6D"/>
    <w:rsid w:val="00A82C84"/>
    <w:rsid w:val="00A83A5B"/>
    <w:rsid w:val="00A84123"/>
    <w:rsid w:val="00A867C2"/>
    <w:rsid w:val="00A86DF5"/>
    <w:rsid w:val="00A87B86"/>
    <w:rsid w:val="00A90DA4"/>
    <w:rsid w:val="00A91205"/>
    <w:rsid w:val="00A924B6"/>
    <w:rsid w:val="00A92CA3"/>
    <w:rsid w:val="00A93DFF"/>
    <w:rsid w:val="00A96339"/>
    <w:rsid w:val="00A965C9"/>
    <w:rsid w:val="00A97AD7"/>
    <w:rsid w:val="00AA01B1"/>
    <w:rsid w:val="00AA0710"/>
    <w:rsid w:val="00AA11DE"/>
    <w:rsid w:val="00AA1740"/>
    <w:rsid w:val="00AA219E"/>
    <w:rsid w:val="00AA290F"/>
    <w:rsid w:val="00AA2AC2"/>
    <w:rsid w:val="00AA2C25"/>
    <w:rsid w:val="00AA2D50"/>
    <w:rsid w:val="00AA340C"/>
    <w:rsid w:val="00AA352F"/>
    <w:rsid w:val="00AA5363"/>
    <w:rsid w:val="00AB0909"/>
    <w:rsid w:val="00AB090F"/>
    <w:rsid w:val="00AB3277"/>
    <w:rsid w:val="00AB43E4"/>
    <w:rsid w:val="00AB4769"/>
    <w:rsid w:val="00AB4AD2"/>
    <w:rsid w:val="00AB5BEA"/>
    <w:rsid w:val="00AB6379"/>
    <w:rsid w:val="00AB7800"/>
    <w:rsid w:val="00AB7CB2"/>
    <w:rsid w:val="00AB7CB8"/>
    <w:rsid w:val="00AC2290"/>
    <w:rsid w:val="00AC2E60"/>
    <w:rsid w:val="00AC5549"/>
    <w:rsid w:val="00AC6733"/>
    <w:rsid w:val="00AC6DCB"/>
    <w:rsid w:val="00AC6E6A"/>
    <w:rsid w:val="00AC7BF7"/>
    <w:rsid w:val="00AD0364"/>
    <w:rsid w:val="00AD1639"/>
    <w:rsid w:val="00AD18BC"/>
    <w:rsid w:val="00AD2AD3"/>
    <w:rsid w:val="00AD3D2F"/>
    <w:rsid w:val="00AD4BAB"/>
    <w:rsid w:val="00AD58F8"/>
    <w:rsid w:val="00AD5F10"/>
    <w:rsid w:val="00AD61D3"/>
    <w:rsid w:val="00AD658B"/>
    <w:rsid w:val="00AD6966"/>
    <w:rsid w:val="00AD7530"/>
    <w:rsid w:val="00AD754F"/>
    <w:rsid w:val="00AD78F2"/>
    <w:rsid w:val="00AE0365"/>
    <w:rsid w:val="00AE0778"/>
    <w:rsid w:val="00AE0C2D"/>
    <w:rsid w:val="00AE1859"/>
    <w:rsid w:val="00AE2052"/>
    <w:rsid w:val="00AE3A7E"/>
    <w:rsid w:val="00AE4DEA"/>
    <w:rsid w:val="00AE5A78"/>
    <w:rsid w:val="00AE5E9E"/>
    <w:rsid w:val="00AE6670"/>
    <w:rsid w:val="00AE7121"/>
    <w:rsid w:val="00AE7B7E"/>
    <w:rsid w:val="00AF1841"/>
    <w:rsid w:val="00AF239F"/>
    <w:rsid w:val="00AF24F8"/>
    <w:rsid w:val="00AF2523"/>
    <w:rsid w:val="00AF4FB3"/>
    <w:rsid w:val="00AF5B68"/>
    <w:rsid w:val="00AF6958"/>
    <w:rsid w:val="00AF6E8B"/>
    <w:rsid w:val="00B006E9"/>
    <w:rsid w:val="00B0237C"/>
    <w:rsid w:val="00B02C3C"/>
    <w:rsid w:val="00B04FE3"/>
    <w:rsid w:val="00B07D0C"/>
    <w:rsid w:val="00B106D9"/>
    <w:rsid w:val="00B1119D"/>
    <w:rsid w:val="00B11390"/>
    <w:rsid w:val="00B12903"/>
    <w:rsid w:val="00B13319"/>
    <w:rsid w:val="00B1376F"/>
    <w:rsid w:val="00B14CB8"/>
    <w:rsid w:val="00B15332"/>
    <w:rsid w:val="00B160FE"/>
    <w:rsid w:val="00B165E7"/>
    <w:rsid w:val="00B16978"/>
    <w:rsid w:val="00B16D2E"/>
    <w:rsid w:val="00B1755C"/>
    <w:rsid w:val="00B175A4"/>
    <w:rsid w:val="00B209D6"/>
    <w:rsid w:val="00B20DD7"/>
    <w:rsid w:val="00B215DE"/>
    <w:rsid w:val="00B22A8B"/>
    <w:rsid w:val="00B23D45"/>
    <w:rsid w:val="00B24857"/>
    <w:rsid w:val="00B24F82"/>
    <w:rsid w:val="00B258EA"/>
    <w:rsid w:val="00B26F02"/>
    <w:rsid w:val="00B3022E"/>
    <w:rsid w:val="00B30AF5"/>
    <w:rsid w:val="00B322EA"/>
    <w:rsid w:val="00B33839"/>
    <w:rsid w:val="00B33ACB"/>
    <w:rsid w:val="00B34690"/>
    <w:rsid w:val="00B34E2F"/>
    <w:rsid w:val="00B350E1"/>
    <w:rsid w:val="00B355E2"/>
    <w:rsid w:val="00B3728F"/>
    <w:rsid w:val="00B37386"/>
    <w:rsid w:val="00B37BB4"/>
    <w:rsid w:val="00B413B8"/>
    <w:rsid w:val="00B42D00"/>
    <w:rsid w:val="00B43540"/>
    <w:rsid w:val="00B45654"/>
    <w:rsid w:val="00B47659"/>
    <w:rsid w:val="00B47C53"/>
    <w:rsid w:val="00B52ECA"/>
    <w:rsid w:val="00B53DA1"/>
    <w:rsid w:val="00B54E0E"/>
    <w:rsid w:val="00B57200"/>
    <w:rsid w:val="00B57A83"/>
    <w:rsid w:val="00B57EEC"/>
    <w:rsid w:val="00B6487A"/>
    <w:rsid w:val="00B65642"/>
    <w:rsid w:val="00B65F09"/>
    <w:rsid w:val="00B67F88"/>
    <w:rsid w:val="00B718A2"/>
    <w:rsid w:val="00B72618"/>
    <w:rsid w:val="00B72A39"/>
    <w:rsid w:val="00B730D5"/>
    <w:rsid w:val="00B734E3"/>
    <w:rsid w:val="00B73D4A"/>
    <w:rsid w:val="00B75F0A"/>
    <w:rsid w:val="00B76F0E"/>
    <w:rsid w:val="00B76F31"/>
    <w:rsid w:val="00B77C74"/>
    <w:rsid w:val="00B811E0"/>
    <w:rsid w:val="00B824F0"/>
    <w:rsid w:val="00B82711"/>
    <w:rsid w:val="00B82BA3"/>
    <w:rsid w:val="00B82E30"/>
    <w:rsid w:val="00B8390F"/>
    <w:rsid w:val="00B83F84"/>
    <w:rsid w:val="00B8404A"/>
    <w:rsid w:val="00B845EA"/>
    <w:rsid w:val="00B85423"/>
    <w:rsid w:val="00B86E34"/>
    <w:rsid w:val="00B8769B"/>
    <w:rsid w:val="00B91824"/>
    <w:rsid w:val="00B91A69"/>
    <w:rsid w:val="00B92F35"/>
    <w:rsid w:val="00B93420"/>
    <w:rsid w:val="00B947F4"/>
    <w:rsid w:val="00B95244"/>
    <w:rsid w:val="00B965CF"/>
    <w:rsid w:val="00B97CAE"/>
    <w:rsid w:val="00BA0616"/>
    <w:rsid w:val="00BA08E0"/>
    <w:rsid w:val="00BA0D47"/>
    <w:rsid w:val="00BA0DC1"/>
    <w:rsid w:val="00BA1B8B"/>
    <w:rsid w:val="00BA23FC"/>
    <w:rsid w:val="00BA2906"/>
    <w:rsid w:val="00BA2B8E"/>
    <w:rsid w:val="00BA3B0A"/>
    <w:rsid w:val="00BA44EB"/>
    <w:rsid w:val="00BA54AD"/>
    <w:rsid w:val="00BA5B69"/>
    <w:rsid w:val="00BA6484"/>
    <w:rsid w:val="00BA6FAB"/>
    <w:rsid w:val="00BA7CDA"/>
    <w:rsid w:val="00BB1A44"/>
    <w:rsid w:val="00BB2235"/>
    <w:rsid w:val="00BB3960"/>
    <w:rsid w:val="00BB3DD7"/>
    <w:rsid w:val="00BB4C36"/>
    <w:rsid w:val="00BB4D26"/>
    <w:rsid w:val="00BB519C"/>
    <w:rsid w:val="00BB51FE"/>
    <w:rsid w:val="00BB5299"/>
    <w:rsid w:val="00BB6EE5"/>
    <w:rsid w:val="00BC0188"/>
    <w:rsid w:val="00BC0F88"/>
    <w:rsid w:val="00BC1403"/>
    <w:rsid w:val="00BC17D1"/>
    <w:rsid w:val="00BC3596"/>
    <w:rsid w:val="00BC3768"/>
    <w:rsid w:val="00BC4244"/>
    <w:rsid w:val="00BC42D2"/>
    <w:rsid w:val="00BC676C"/>
    <w:rsid w:val="00BC6FB9"/>
    <w:rsid w:val="00BC70BF"/>
    <w:rsid w:val="00BD1351"/>
    <w:rsid w:val="00BD198A"/>
    <w:rsid w:val="00BD2036"/>
    <w:rsid w:val="00BD2929"/>
    <w:rsid w:val="00BD3D47"/>
    <w:rsid w:val="00BD5327"/>
    <w:rsid w:val="00BD6BA6"/>
    <w:rsid w:val="00BD7C39"/>
    <w:rsid w:val="00BD7C58"/>
    <w:rsid w:val="00BE0204"/>
    <w:rsid w:val="00BE0B56"/>
    <w:rsid w:val="00BE21C9"/>
    <w:rsid w:val="00BE3F67"/>
    <w:rsid w:val="00BE6DBD"/>
    <w:rsid w:val="00BE7F8B"/>
    <w:rsid w:val="00BF00B4"/>
    <w:rsid w:val="00BF10E1"/>
    <w:rsid w:val="00BF3383"/>
    <w:rsid w:val="00BF3B30"/>
    <w:rsid w:val="00BF44CC"/>
    <w:rsid w:val="00BF50E7"/>
    <w:rsid w:val="00BF562B"/>
    <w:rsid w:val="00BF576B"/>
    <w:rsid w:val="00BF7E5A"/>
    <w:rsid w:val="00C01BEF"/>
    <w:rsid w:val="00C0352D"/>
    <w:rsid w:val="00C03DB5"/>
    <w:rsid w:val="00C04960"/>
    <w:rsid w:val="00C057E8"/>
    <w:rsid w:val="00C05A2C"/>
    <w:rsid w:val="00C06479"/>
    <w:rsid w:val="00C06C96"/>
    <w:rsid w:val="00C07555"/>
    <w:rsid w:val="00C11777"/>
    <w:rsid w:val="00C11B3E"/>
    <w:rsid w:val="00C12048"/>
    <w:rsid w:val="00C12245"/>
    <w:rsid w:val="00C13BF4"/>
    <w:rsid w:val="00C14421"/>
    <w:rsid w:val="00C15062"/>
    <w:rsid w:val="00C1589B"/>
    <w:rsid w:val="00C166C2"/>
    <w:rsid w:val="00C16B43"/>
    <w:rsid w:val="00C170BF"/>
    <w:rsid w:val="00C1761F"/>
    <w:rsid w:val="00C201E9"/>
    <w:rsid w:val="00C21E8F"/>
    <w:rsid w:val="00C232AE"/>
    <w:rsid w:val="00C23868"/>
    <w:rsid w:val="00C242D7"/>
    <w:rsid w:val="00C261CE"/>
    <w:rsid w:val="00C27126"/>
    <w:rsid w:val="00C2790E"/>
    <w:rsid w:val="00C301A8"/>
    <w:rsid w:val="00C303A3"/>
    <w:rsid w:val="00C311E6"/>
    <w:rsid w:val="00C31A5A"/>
    <w:rsid w:val="00C323EA"/>
    <w:rsid w:val="00C326EC"/>
    <w:rsid w:val="00C33340"/>
    <w:rsid w:val="00C3689D"/>
    <w:rsid w:val="00C374EE"/>
    <w:rsid w:val="00C43672"/>
    <w:rsid w:val="00C46A13"/>
    <w:rsid w:val="00C46B2E"/>
    <w:rsid w:val="00C46E68"/>
    <w:rsid w:val="00C47161"/>
    <w:rsid w:val="00C500E7"/>
    <w:rsid w:val="00C512CA"/>
    <w:rsid w:val="00C51404"/>
    <w:rsid w:val="00C53A4D"/>
    <w:rsid w:val="00C53A88"/>
    <w:rsid w:val="00C53EFE"/>
    <w:rsid w:val="00C54034"/>
    <w:rsid w:val="00C549DF"/>
    <w:rsid w:val="00C54E60"/>
    <w:rsid w:val="00C55299"/>
    <w:rsid w:val="00C55307"/>
    <w:rsid w:val="00C555D2"/>
    <w:rsid w:val="00C56E31"/>
    <w:rsid w:val="00C578B5"/>
    <w:rsid w:val="00C57A18"/>
    <w:rsid w:val="00C60FCA"/>
    <w:rsid w:val="00C6100B"/>
    <w:rsid w:val="00C61504"/>
    <w:rsid w:val="00C6185E"/>
    <w:rsid w:val="00C62016"/>
    <w:rsid w:val="00C647AE"/>
    <w:rsid w:val="00C64CC0"/>
    <w:rsid w:val="00C65454"/>
    <w:rsid w:val="00C65A82"/>
    <w:rsid w:val="00C65B76"/>
    <w:rsid w:val="00C673C6"/>
    <w:rsid w:val="00C721A1"/>
    <w:rsid w:val="00C7247C"/>
    <w:rsid w:val="00C72787"/>
    <w:rsid w:val="00C72D2E"/>
    <w:rsid w:val="00C72E3B"/>
    <w:rsid w:val="00C73165"/>
    <w:rsid w:val="00C731D7"/>
    <w:rsid w:val="00C7391B"/>
    <w:rsid w:val="00C73993"/>
    <w:rsid w:val="00C740B6"/>
    <w:rsid w:val="00C74210"/>
    <w:rsid w:val="00C75B33"/>
    <w:rsid w:val="00C766CC"/>
    <w:rsid w:val="00C76A4C"/>
    <w:rsid w:val="00C77255"/>
    <w:rsid w:val="00C77560"/>
    <w:rsid w:val="00C778B9"/>
    <w:rsid w:val="00C800AA"/>
    <w:rsid w:val="00C8097F"/>
    <w:rsid w:val="00C82C17"/>
    <w:rsid w:val="00C83593"/>
    <w:rsid w:val="00C8430B"/>
    <w:rsid w:val="00C848D5"/>
    <w:rsid w:val="00C85975"/>
    <w:rsid w:val="00C865E5"/>
    <w:rsid w:val="00C86AE1"/>
    <w:rsid w:val="00C912A7"/>
    <w:rsid w:val="00C916AC"/>
    <w:rsid w:val="00C92060"/>
    <w:rsid w:val="00C922B0"/>
    <w:rsid w:val="00C925CF"/>
    <w:rsid w:val="00C92A95"/>
    <w:rsid w:val="00C93260"/>
    <w:rsid w:val="00C9328A"/>
    <w:rsid w:val="00C93D7C"/>
    <w:rsid w:val="00C94183"/>
    <w:rsid w:val="00C95281"/>
    <w:rsid w:val="00C95596"/>
    <w:rsid w:val="00C95CD2"/>
    <w:rsid w:val="00C96380"/>
    <w:rsid w:val="00C96997"/>
    <w:rsid w:val="00C97777"/>
    <w:rsid w:val="00C97E3C"/>
    <w:rsid w:val="00C97E55"/>
    <w:rsid w:val="00CA0AE7"/>
    <w:rsid w:val="00CA0B9A"/>
    <w:rsid w:val="00CA13A9"/>
    <w:rsid w:val="00CA14B3"/>
    <w:rsid w:val="00CA2676"/>
    <w:rsid w:val="00CA37C8"/>
    <w:rsid w:val="00CA39BD"/>
    <w:rsid w:val="00CA3D64"/>
    <w:rsid w:val="00CA755D"/>
    <w:rsid w:val="00CA7C63"/>
    <w:rsid w:val="00CB0596"/>
    <w:rsid w:val="00CB29F9"/>
    <w:rsid w:val="00CB4BE0"/>
    <w:rsid w:val="00CB53D8"/>
    <w:rsid w:val="00CB63A1"/>
    <w:rsid w:val="00CB720A"/>
    <w:rsid w:val="00CB72D2"/>
    <w:rsid w:val="00CC165C"/>
    <w:rsid w:val="00CC1CF8"/>
    <w:rsid w:val="00CC47B9"/>
    <w:rsid w:val="00CC4810"/>
    <w:rsid w:val="00CC64FB"/>
    <w:rsid w:val="00CC67EC"/>
    <w:rsid w:val="00CC7BB8"/>
    <w:rsid w:val="00CD102D"/>
    <w:rsid w:val="00CD109C"/>
    <w:rsid w:val="00CD1E11"/>
    <w:rsid w:val="00CD2196"/>
    <w:rsid w:val="00CD26D5"/>
    <w:rsid w:val="00CD2C29"/>
    <w:rsid w:val="00CD7424"/>
    <w:rsid w:val="00CE0ABE"/>
    <w:rsid w:val="00CE18A1"/>
    <w:rsid w:val="00CE3319"/>
    <w:rsid w:val="00CE4C94"/>
    <w:rsid w:val="00CE68A7"/>
    <w:rsid w:val="00CE7A19"/>
    <w:rsid w:val="00CF0C43"/>
    <w:rsid w:val="00CF1E32"/>
    <w:rsid w:val="00CF3554"/>
    <w:rsid w:val="00CF5AA0"/>
    <w:rsid w:val="00CF5E19"/>
    <w:rsid w:val="00CF6115"/>
    <w:rsid w:val="00CF69FF"/>
    <w:rsid w:val="00CF7E68"/>
    <w:rsid w:val="00D004DE"/>
    <w:rsid w:val="00D0125C"/>
    <w:rsid w:val="00D014EC"/>
    <w:rsid w:val="00D02B1F"/>
    <w:rsid w:val="00D03009"/>
    <w:rsid w:val="00D031FE"/>
    <w:rsid w:val="00D04077"/>
    <w:rsid w:val="00D113E4"/>
    <w:rsid w:val="00D11511"/>
    <w:rsid w:val="00D11558"/>
    <w:rsid w:val="00D1171D"/>
    <w:rsid w:val="00D12570"/>
    <w:rsid w:val="00D12BC6"/>
    <w:rsid w:val="00D13021"/>
    <w:rsid w:val="00D134AB"/>
    <w:rsid w:val="00D14537"/>
    <w:rsid w:val="00D14770"/>
    <w:rsid w:val="00D14BD5"/>
    <w:rsid w:val="00D153D3"/>
    <w:rsid w:val="00D163C1"/>
    <w:rsid w:val="00D16603"/>
    <w:rsid w:val="00D166DB"/>
    <w:rsid w:val="00D211DF"/>
    <w:rsid w:val="00D2171A"/>
    <w:rsid w:val="00D22CF1"/>
    <w:rsid w:val="00D245FB"/>
    <w:rsid w:val="00D25CE0"/>
    <w:rsid w:val="00D2605B"/>
    <w:rsid w:val="00D260B0"/>
    <w:rsid w:val="00D266CF"/>
    <w:rsid w:val="00D27678"/>
    <w:rsid w:val="00D2793E"/>
    <w:rsid w:val="00D30E4E"/>
    <w:rsid w:val="00D348ED"/>
    <w:rsid w:val="00D355FD"/>
    <w:rsid w:val="00D35AF5"/>
    <w:rsid w:val="00D3617A"/>
    <w:rsid w:val="00D365D3"/>
    <w:rsid w:val="00D367AB"/>
    <w:rsid w:val="00D36FE6"/>
    <w:rsid w:val="00D37888"/>
    <w:rsid w:val="00D40896"/>
    <w:rsid w:val="00D40DFD"/>
    <w:rsid w:val="00D41CDF"/>
    <w:rsid w:val="00D4282E"/>
    <w:rsid w:val="00D428F9"/>
    <w:rsid w:val="00D42F94"/>
    <w:rsid w:val="00D44BA1"/>
    <w:rsid w:val="00D46000"/>
    <w:rsid w:val="00D47A94"/>
    <w:rsid w:val="00D5198C"/>
    <w:rsid w:val="00D524AB"/>
    <w:rsid w:val="00D52D5B"/>
    <w:rsid w:val="00D543EB"/>
    <w:rsid w:val="00D5551B"/>
    <w:rsid w:val="00D55D40"/>
    <w:rsid w:val="00D563F1"/>
    <w:rsid w:val="00D566A3"/>
    <w:rsid w:val="00D5686C"/>
    <w:rsid w:val="00D56DDE"/>
    <w:rsid w:val="00D600B6"/>
    <w:rsid w:val="00D60DD7"/>
    <w:rsid w:val="00D627FB"/>
    <w:rsid w:val="00D62A10"/>
    <w:rsid w:val="00D62BF6"/>
    <w:rsid w:val="00D62EF0"/>
    <w:rsid w:val="00D63696"/>
    <w:rsid w:val="00D63758"/>
    <w:rsid w:val="00D638B9"/>
    <w:rsid w:val="00D6463E"/>
    <w:rsid w:val="00D64ACC"/>
    <w:rsid w:val="00D67CC8"/>
    <w:rsid w:val="00D72157"/>
    <w:rsid w:val="00D72F04"/>
    <w:rsid w:val="00D73315"/>
    <w:rsid w:val="00D74000"/>
    <w:rsid w:val="00D74C08"/>
    <w:rsid w:val="00D768C9"/>
    <w:rsid w:val="00D804D9"/>
    <w:rsid w:val="00D8050F"/>
    <w:rsid w:val="00D817CA"/>
    <w:rsid w:val="00D81FEB"/>
    <w:rsid w:val="00D832A8"/>
    <w:rsid w:val="00D83C51"/>
    <w:rsid w:val="00D844FE"/>
    <w:rsid w:val="00D868E9"/>
    <w:rsid w:val="00D86F4C"/>
    <w:rsid w:val="00D874A7"/>
    <w:rsid w:val="00D938C9"/>
    <w:rsid w:val="00D938F4"/>
    <w:rsid w:val="00D93FEA"/>
    <w:rsid w:val="00D94B33"/>
    <w:rsid w:val="00D94C38"/>
    <w:rsid w:val="00D94F15"/>
    <w:rsid w:val="00D956DD"/>
    <w:rsid w:val="00D9669C"/>
    <w:rsid w:val="00D96A6D"/>
    <w:rsid w:val="00D97337"/>
    <w:rsid w:val="00D977D8"/>
    <w:rsid w:val="00D97C4F"/>
    <w:rsid w:val="00DA04FB"/>
    <w:rsid w:val="00DA07B9"/>
    <w:rsid w:val="00DA16B7"/>
    <w:rsid w:val="00DA1F1B"/>
    <w:rsid w:val="00DA2758"/>
    <w:rsid w:val="00DA27DF"/>
    <w:rsid w:val="00DA466B"/>
    <w:rsid w:val="00DA5D4E"/>
    <w:rsid w:val="00DA60A3"/>
    <w:rsid w:val="00DB024E"/>
    <w:rsid w:val="00DB07F3"/>
    <w:rsid w:val="00DB218D"/>
    <w:rsid w:val="00DB28AB"/>
    <w:rsid w:val="00DB36CC"/>
    <w:rsid w:val="00DB3881"/>
    <w:rsid w:val="00DB469C"/>
    <w:rsid w:val="00DB520F"/>
    <w:rsid w:val="00DB5ABB"/>
    <w:rsid w:val="00DB5EE3"/>
    <w:rsid w:val="00DB6378"/>
    <w:rsid w:val="00DB6B5F"/>
    <w:rsid w:val="00DB7749"/>
    <w:rsid w:val="00DB7A12"/>
    <w:rsid w:val="00DB7F61"/>
    <w:rsid w:val="00DC0DA2"/>
    <w:rsid w:val="00DC315E"/>
    <w:rsid w:val="00DC600D"/>
    <w:rsid w:val="00DC6386"/>
    <w:rsid w:val="00DC73B8"/>
    <w:rsid w:val="00DC7C4E"/>
    <w:rsid w:val="00DD1A41"/>
    <w:rsid w:val="00DD2826"/>
    <w:rsid w:val="00DD2D97"/>
    <w:rsid w:val="00DD56F6"/>
    <w:rsid w:val="00DD57E6"/>
    <w:rsid w:val="00DD5A72"/>
    <w:rsid w:val="00DD664C"/>
    <w:rsid w:val="00DD6720"/>
    <w:rsid w:val="00DD692D"/>
    <w:rsid w:val="00DD6FD8"/>
    <w:rsid w:val="00DD753D"/>
    <w:rsid w:val="00DE1227"/>
    <w:rsid w:val="00DE1BC1"/>
    <w:rsid w:val="00DE25B8"/>
    <w:rsid w:val="00DE355F"/>
    <w:rsid w:val="00DE399D"/>
    <w:rsid w:val="00DE3C13"/>
    <w:rsid w:val="00DE4059"/>
    <w:rsid w:val="00DE412D"/>
    <w:rsid w:val="00DE4B07"/>
    <w:rsid w:val="00DE6FB2"/>
    <w:rsid w:val="00DF0309"/>
    <w:rsid w:val="00DF2197"/>
    <w:rsid w:val="00DF45F1"/>
    <w:rsid w:val="00DF4616"/>
    <w:rsid w:val="00DF54E8"/>
    <w:rsid w:val="00DF710F"/>
    <w:rsid w:val="00DF73C5"/>
    <w:rsid w:val="00DF7711"/>
    <w:rsid w:val="00E006ED"/>
    <w:rsid w:val="00E0087C"/>
    <w:rsid w:val="00E00B28"/>
    <w:rsid w:val="00E00EE7"/>
    <w:rsid w:val="00E01068"/>
    <w:rsid w:val="00E038BD"/>
    <w:rsid w:val="00E04257"/>
    <w:rsid w:val="00E0643C"/>
    <w:rsid w:val="00E102E8"/>
    <w:rsid w:val="00E10B5E"/>
    <w:rsid w:val="00E11FF7"/>
    <w:rsid w:val="00E12AC0"/>
    <w:rsid w:val="00E12EBD"/>
    <w:rsid w:val="00E1319E"/>
    <w:rsid w:val="00E13AA8"/>
    <w:rsid w:val="00E14EC5"/>
    <w:rsid w:val="00E14EFA"/>
    <w:rsid w:val="00E17333"/>
    <w:rsid w:val="00E17661"/>
    <w:rsid w:val="00E17698"/>
    <w:rsid w:val="00E17CEB"/>
    <w:rsid w:val="00E20A7D"/>
    <w:rsid w:val="00E21222"/>
    <w:rsid w:val="00E21979"/>
    <w:rsid w:val="00E21E59"/>
    <w:rsid w:val="00E22408"/>
    <w:rsid w:val="00E2250A"/>
    <w:rsid w:val="00E22C63"/>
    <w:rsid w:val="00E22FD9"/>
    <w:rsid w:val="00E25065"/>
    <w:rsid w:val="00E256A6"/>
    <w:rsid w:val="00E2707D"/>
    <w:rsid w:val="00E2713A"/>
    <w:rsid w:val="00E27B84"/>
    <w:rsid w:val="00E27DE1"/>
    <w:rsid w:val="00E30461"/>
    <w:rsid w:val="00E3099A"/>
    <w:rsid w:val="00E3273D"/>
    <w:rsid w:val="00E33DCE"/>
    <w:rsid w:val="00E343BC"/>
    <w:rsid w:val="00E35959"/>
    <w:rsid w:val="00E35E36"/>
    <w:rsid w:val="00E36713"/>
    <w:rsid w:val="00E3793D"/>
    <w:rsid w:val="00E42069"/>
    <w:rsid w:val="00E4360E"/>
    <w:rsid w:val="00E440F7"/>
    <w:rsid w:val="00E44217"/>
    <w:rsid w:val="00E4473E"/>
    <w:rsid w:val="00E45F05"/>
    <w:rsid w:val="00E4644F"/>
    <w:rsid w:val="00E505E2"/>
    <w:rsid w:val="00E50E17"/>
    <w:rsid w:val="00E5117C"/>
    <w:rsid w:val="00E52163"/>
    <w:rsid w:val="00E531C1"/>
    <w:rsid w:val="00E5438E"/>
    <w:rsid w:val="00E5446F"/>
    <w:rsid w:val="00E55B28"/>
    <w:rsid w:val="00E5615F"/>
    <w:rsid w:val="00E56529"/>
    <w:rsid w:val="00E601DD"/>
    <w:rsid w:val="00E63BDA"/>
    <w:rsid w:val="00E643DD"/>
    <w:rsid w:val="00E647F9"/>
    <w:rsid w:val="00E649A9"/>
    <w:rsid w:val="00E64B37"/>
    <w:rsid w:val="00E651A7"/>
    <w:rsid w:val="00E65D0D"/>
    <w:rsid w:val="00E65D43"/>
    <w:rsid w:val="00E663CF"/>
    <w:rsid w:val="00E70486"/>
    <w:rsid w:val="00E707C4"/>
    <w:rsid w:val="00E709CF"/>
    <w:rsid w:val="00E71356"/>
    <w:rsid w:val="00E72DA3"/>
    <w:rsid w:val="00E74DBA"/>
    <w:rsid w:val="00E74FD4"/>
    <w:rsid w:val="00E80B36"/>
    <w:rsid w:val="00E82F94"/>
    <w:rsid w:val="00E83BEE"/>
    <w:rsid w:val="00E8433E"/>
    <w:rsid w:val="00E850D2"/>
    <w:rsid w:val="00E85E26"/>
    <w:rsid w:val="00E874DD"/>
    <w:rsid w:val="00E8780C"/>
    <w:rsid w:val="00E879D1"/>
    <w:rsid w:val="00E908B0"/>
    <w:rsid w:val="00E92F3C"/>
    <w:rsid w:val="00E932F9"/>
    <w:rsid w:val="00E9681E"/>
    <w:rsid w:val="00EA043E"/>
    <w:rsid w:val="00EA0D39"/>
    <w:rsid w:val="00EA1181"/>
    <w:rsid w:val="00EA16C2"/>
    <w:rsid w:val="00EA229C"/>
    <w:rsid w:val="00EA2746"/>
    <w:rsid w:val="00EA3D57"/>
    <w:rsid w:val="00EA451B"/>
    <w:rsid w:val="00EA61C1"/>
    <w:rsid w:val="00EA6460"/>
    <w:rsid w:val="00EB0F86"/>
    <w:rsid w:val="00EB37A2"/>
    <w:rsid w:val="00EB39D8"/>
    <w:rsid w:val="00EB4DCD"/>
    <w:rsid w:val="00EB556B"/>
    <w:rsid w:val="00EB5C69"/>
    <w:rsid w:val="00EB5FD1"/>
    <w:rsid w:val="00EB6364"/>
    <w:rsid w:val="00EB6D6D"/>
    <w:rsid w:val="00EC32C0"/>
    <w:rsid w:val="00EC3689"/>
    <w:rsid w:val="00EC3823"/>
    <w:rsid w:val="00EC3BDB"/>
    <w:rsid w:val="00EC4044"/>
    <w:rsid w:val="00EC4613"/>
    <w:rsid w:val="00EC640D"/>
    <w:rsid w:val="00EC6AC6"/>
    <w:rsid w:val="00EC7ECE"/>
    <w:rsid w:val="00ED1BFB"/>
    <w:rsid w:val="00ED3719"/>
    <w:rsid w:val="00ED489C"/>
    <w:rsid w:val="00ED57D5"/>
    <w:rsid w:val="00ED6FC9"/>
    <w:rsid w:val="00ED7742"/>
    <w:rsid w:val="00ED7946"/>
    <w:rsid w:val="00EE3FDC"/>
    <w:rsid w:val="00EE46B3"/>
    <w:rsid w:val="00EE498F"/>
    <w:rsid w:val="00EF06B6"/>
    <w:rsid w:val="00EF0E68"/>
    <w:rsid w:val="00EF23AE"/>
    <w:rsid w:val="00EF4A0C"/>
    <w:rsid w:val="00EF587A"/>
    <w:rsid w:val="00EF5A40"/>
    <w:rsid w:val="00EF5E15"/>
    <w:rsid w:val="00EF6214"/>
    <w:rsid w:val="00EF6275"/>
    <w:rsid w:val="00EF630B"/>
    <w:rsid w:val="00EF63BE"/>
    <w:rsid w:val="00EF64E9"/>
    <w:rsid w:val="00EF7AF5"/>
    <w:rsid w:val="00F00820"/>
    <w:rsid w:val="00F00977"/>
    <w:rsid w:val="00F029F2"/>
    <w:rsid w:val="00F03063"/>
    <w:rsid w:val="00F062FB"/>
    <w:rsid w:val="00F06520"/>
    <w:rsid w:val="00F07A76"/>
    <w:rsid w:val="00F07AA4"/>
    <w:rsid w:val="00F12773"/>
    <w:rsid w:val="00F1337B"/>
    <w:rsid w:val="00F13E7F"/>
    <w:rsid w:val="00F14608"/>
    <w:rsid w:val="00F14D21"/>
    <w:rsid w:val="00F2167A"/>
    <w:rsid w:val="00F220D8"/>
    <w:rsid w:val="00F22F57"/>
    <w:rsid w:val="00F231DB"/>
    <w:rsid w:val="00F23E6F"/>
    <w:rsid w:val="00F25ADE"/>
    <w:rsid w:val="00F269E2"/>
    <w:rsid w:val="00F30150"/>
    <w:rsid w:val="00F31D59"/>
    <w:rsid w:val="00F3261C"/>
    <w:rsid w:val="00F33C55"/>
    <w:rsid w:val="00F33EDA"/>
    <w:rsid w:val="00F347B2"/>
    <w:rsid w:val="00F34BD0"/>
    <w:rsid w:val="00F34CFA"/>
    <w:rsid w:val="00F34DD9"/>
    <w:rsid w:val="00F358EA"/>
    <w:rsid w:val="00F365DD"/>
    <w:rsid w:val="00F369C7"/>
    <w:rsid w:val="00F37C4D"/>
    <w:rsid w:val="00F37DD3"/>
    <w:rsid w:val="00F40C7A"/>
    <w:rsid w:val="00F40C94"/>
    <w:rsid w:val="00F4129B"/>
    <w:rsid w:val="00F412E6"/>
    <w:rsid w:val="00F424E8"/>
    <w:rsid w:val="00F43C01"/>
    <w:rsid w:val="00F463BA"/>
    <w:rsid w:val="00F50251"/>
    <w:rsid w:val="00F512AF"/>
    <w:rsid w:val="00F524F4"/>
    <w:rsid w:val="00F54A94"/>
    <w:rsid w:val="00F554DB"/>
    <w:rsid w:val="00F576F2"/>
    <w:rsid w:val="00F60174"/>
    <w:rsid w:val="00F61B5A"/>
    <w:rsid w:val="00F632A6"/>
    <w:rsid w:val="00F64216"/>
    <w:rsid w:val="00F64712"/>
    <w:rsid w:val="00F701F9"/>
    <w:rsid w:val="00F70BBF"/>
    <w:rsid w:val="00F72486"/>
    <w:rsid w:val="00F72DBF"/>
    <w:rsid w:val="00F7462A"/>
    <w:rsid w:val="00F750B7"/>
    <w:rsid w:val="00F76999"/>
    <w:rsid w:val="00F769C8"/>
    <w:rsid w:val="00F77E8B"/>
    <w:rsid w:val="00F809F6"/>
    <w:rsid w:val="00F818DC"/>
    <w:rsid w:val="00F82BB6"/>
    <w:rsid w:val="00F83BB9"/>
    <w:rsid w:val="00F84D2A"/>
    <w:rsid w:val="00F85416"/>
    <w:rsid w:val="00F86909"/>
    <w:rsid w:val="00F8759B"/>
    <w:rsid w:val="00F90996"/>
    <w:rsid w:val="00F91032"/>
    <w:rsid w:val="00F91663"/>
    <w:rsid w:val="00F919D7"/>
    <w:rsid w:val="00F91ADD"/>
    <w:rsid w:val="00F91E87"/>
    <w:rsid w:val="00F92A0A"/>
    <w:rsid w:val="00F92ECD"/>
    <w:rsid w:val="00F9367B"/>
    <w:rsid w:val="00F942D0"/>
    <w:rsid w:val="00F956B4"/>
    <w:rsid w:val="00F95C2E"/>
    <w:rsid w:val="00F9686D"/>
    <w:rsid w:val="00F97642"/>
    <w:rsid w:val="00FA1F25"/>
    <w:rsid w:val="00FA2AF0"/>
    <w:rsid w:val="00FA3E5F"/>
    <w:rsid w:val="00FA46D8"/>
    <w:rsid w:val="00FA47EB"/>
    <w:rsid w:val="00FA49D4"/>
    <w:rsid w:val="00FA4BF8"/>
    <w:rsid w:val="00FA7972"/>
    <w:rsid w:val="00FB0F96"/>
    <w:rsid w:val="00FB1ACD"/>
    <w:rsid w:val="00FB246D"/>
    <w:rsid w:val="00FB44C1"/>
    <w:rsid w:val="00FB4A02"/>
    <w:rsid w:val="00FB60C9"/>
    <w:rsid w:val="00FB6B79"/>
    <w:rsid w:val="00FB7AF2"/>
    <w:rsid w:val="00FC0E54"/>
    <w:rsid w:val="00FC171E"/>
    <w:rsid w:val="00FC28B8"/>
    <w:rsid w:val="00FC2C90"/>
    <w:rsid w:val="00FC3387"/>
    <w:rsid w:val="00FC3D6D"/>
    <w:rsid w:val="00FC4111"/>
    <w:rsid w:val="00FC4299"/>
    <w:rsid w:val="00FC445F"/>
    <w:rsid w:val="00FD0866"/>
    <w:rsid w:val="00FD0D4E"/>
    <w:rsid w:val="00FD1F80"/>
    <w:rsid w:val="00FD34FD"/>
    <w:rsid w:val="00FD3F87"/>
    <w:rsid w:val="00FD468C"/>
    <w:rsid w:val="00FD6216"/>
    <w:rsid w:val="00FE262D"/>
    <w:rsid w:val="00FE2706"/>
    <w:rsid w:val="00FE3517"/>
    <w:rsid w:val="00FE43A5"/>
    <w:rsid w:val="00FE4B1C"/>
    <w:rsid w:val="00FE4D81"/>
    <w:rsid w:val="00FE55F4"/>
    <w:rsid w:val="00FE69D4"/>
    <w:rsid w:val="00FF00B4"/>
    <w:rsid w:val="00FF2907"/>
    <w:rsid w:val="00FF2E68"/>
    <w:rsid w:val="00FF36F2"/>
    <w:rsid w:val="00FF513A"/>
    <w:rsid w:val="00FF76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BBBE795"/>
  <w15:docId w15:val="{27452C9F-0E29-4A58-9175-963E4D65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0830"/>
    <w:rPr>
      <w:rFonts w:ascii="Arial" w:hAnsi="Arial"/>
      <w:sz w:val="22"/>
      <w:szCs w:val="24"/>
      <w:lang w:val="en-GB"/>
    </w:rPr>
  </w:style>
  <w:style w:type="paragraph" w:styleId="berschrift1">
    <w:name w:val="heading 1"/>
    <w:basedOn w:val="Standard"/>
    <w:next w:val="Standard"/>
    <w:qFormat/>
    <w:rsid w:val="00CC1CF8"/>
    <w:pPr>
      <w:keepNext/>
      <w:numPr>
        <w:numId w:val="1"/>
      </w:numPr>
      <w:pBdr>
        <w:top w:val="single" w:sz="4" w:space="1" w:color="auto"/>
      </w:pBdr>
      <w:suppressAutoHyphens/>
      <w:spacing w:before="104" w:after="226"/>
      <w:outlineLvl w:val="0"/>
    </w:pPr>
    <w:rPr>
      <w:rFonts w:ascii="Helvetica" w:hAnsi="Helvetica" w:cstheme="minorHAnsi"/>
      <w:b/>
      <w:smallCaps/>
      <w:spacing w:val="-2"/>
      <w:sz w:val="20"/>
      <w:szCs w:val="20"/>
    </w:rPr>
  </w:style>
  <w:style w:type="paragraph" w:styleId="berschrift2">
    <w:name w:val="heading 2"/>
    <w:basedOn w:val="Standard"/>
    <w:next w:val="Standard"/>
    <w:qFormat/>
    <w:pPr>
      <w:keepNext/>
      <w:ind w:left="720"/>
      <w:outlineLvl w:val="1"/>
    </w:pPr>
    <w:rPr>
      <w:rFonts w:ascii="Arial Narrow" w:hAnsi="Arial Narrow"/>
      <w:b/>
      <w:bCs/>
    </w:rPr>
  </w:style>
  <w:style w:type="paragraph" w:styleId="berschrift3">
    <w:name w:val="heading 3"/>
    <w:basedOn w:val="Standard"/>
    <w:next w:val="Standard"/>
    <w:qFormat/>
    <w:pPr>
      <w:keepNext/>
      <w:widowControl w:val="0"/>
      <w:tabs>
        <w:tab w:val="left" w:pos="2160"/>
        <w:tab w:val="left" w:pos="9360"/>
      </w:tabs>
      <w:outlineLvl w:val="2"/>
    </w:pPr>
    <w:rPr>
      <w:rFonts w:ascii="Courier" w:hAnsi="Courier"/>
      <w:b/>
      <w:sz w:val="28"/>
      <w:szCs w:val="20"/>
      <w:lang w:val="en-US"/>
    </w:rPr>
  </w:style>
  <w:style w:type="paragraph" w:styleId="berschrift4">
    <w:name w:val="heading 4"/>
    <w:basedOn w:val="Standard"/>
    <w:next w:val="Standard"/>
    <w:qFormat/>
    <w:pPr>
      <w:keepNext/>
      <w:widowControl w:val="0"/>
      <w:spacing w:after="540"/>
      <w:ind w:left="116"/>
      <w:outlineLvl w:val="3"/>
    </w:pPr>
    <w:rPr>
      <w:b/>
      <w:spacing w:val="15"/>
      <w:sz w:val="28"/>
      <w:lang w:val="en-US"/>
    </w:rPr>
  </w:style>
  <w:style w:type="paragraph" w:styleId="berschrift5">
    <w:name w:val="heading 5"/>
    <w:basedOn w:val="Standard"/>
    <w:next w:val="Standard"/>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berschrift7">
    <w:name w:val="heading 7"/>
    <w:basedOn w:val="Standard"/>
    <w:next w:val="Standard"/>
    <w:link w:val="berschrift7Zchn"/>
    <w:unhideWhenUsed/>
    <w:qFormat/>
    <w:rsid w:val="00891E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86271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character" w:styleId="Seitenzahl">
    <w:name w:val="page number"/>
    <w:basedOn w:val="Absatz-Standardschriftart"/>
  </w:style>
  <w:style w:type="paragraph" w:styleId="Funotentext">
    <w:name w:val="footnote text"/>
    <w:aliases w:val="Texto nota pie Car,FA Fu,Footnote Text Char Char Char Char Char,Footnote Text Char Char Char Char,Footnote reference,Footnote Text Char Char Char,texto de nota al pie,ft,single space,fn,fn Char,Footnote Text Char Char,Footnote,f,Text,ADB,text"/>
    <w:basedOn w:val="Standard"/>
    <w:link w:val="FunotentextZchn"/>
    <w:qFormat/>
    <w:pPr>
      <w:widowControl w:val="0"/>
    </w:pPr>
    <w:rPr>
      <w:rFonts w:ascii="Courier" w:hAnsi="Courier"/>
      <w:szCs w:val="20"/>
      <w:lang w:val="en-US"/>
    </w:rPr>
  </w:style>
  <w:style w:type="paragraph" w:styleId="Textkrper3">
    <w:name w:val="Body Text 3"/>
    <w:basedOn w:val="Standard"/>
    <w:rPr>
      <w:szCs w:val="20"/>
      <w:lang w:val="en-US"/>
    </w:rPr>
  </w:style>
  <w:style w:type="paragraph" w:styleId="Textkrper-Zeileneinzug">
    <w:name w:val="Body Text Indent"/>
    <w:basedOn w:val="Standard"/>
    <w:link w:val="Textkrper-ZeileneinzugZchn"/>
    <w:pPr>
      <w:tabs>
        <w:tab w:val="left" w:pos="360"/>
      </w:tabs>
    </w:pPr>
    <w:rPr>
      <w:b/>
      <w:i/>
      <w:sz w:val="28"/>
      <w:szCs w:val="20"/>
      <w:lang w:val="en-US"/>
    </w:r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
    <w:name w:val="Body Text"/>
    <w:basedOn w:val="Standard"/>
    <w:link w:val="TextkrperZchn"/>
    <w:pPr>
      <w:pBdr>
        <w:bottom w:val="single" w:sz="4" w:space="1" w:color="auto"/>
      </w:pBdr>
    </w:pPr>
    <w:rPr>
      <w:rFonts w:ascii="Arial Narrow" w:hAnsi="Arial Narrow"/>
      <w:i/>
      <w:iCs/>
    </w:rPr>
  </w:style>
  <w:style w:type="paragraph" w:styleId="Textkrper2">
    <w:name w:val="Body Text 2"/>
    <w:basedOn w:val="Standard"/>
    <w:pPr>
      <w:spacing w:before="120" w:after="120"/>
    </w:pPr>
    <w:rPr>
      <w:rFonts w:ascii="Arial Narrow" w:hAnsi="Arial Narrow"/>
    </w:rPr>
  </w:style>
  <w:style w:type="paragraph" w:styleId="Sprechblasentext">
    <w:name w:val="Balloon Text"/>
    <w:basedOn w:val="Standard"/>
    <w:semiHidden/>
    <w:rsid w:val="00D260B0"/>
    <w:rPr>
      <w:rFonts w:ascii="Tahoma" w:hAnsi="Tahoma" w:cs="Tahoma"/>
      <w:sz w:val="16"/>
      <w:szCs w:val="16"/>
    </w:rPr>
  </w:style>
  <w:style w:type="character" w:styleId="Kommentarzeichen">
    <w:name w:val="annotation reference"/>
    <w:semiHidden/>
    <w:rsid w:val="00EF6275"/>
    <w:rPr>
      <w:sz w:val="16"/>
      <w:szCs w:val="16"/>
    </w:rPr>
  </w:style>
  <w:style w:type="paragraph" w:styleId="Kommentartext">
    <w:name w:val="annotation text"/>
    <w:basedOn w:val="Standard"/>
    <w:link w:val="KommentartextZchn"/>
    <w:semiHidden/>
    <w:rsid w:val="00EF6275"/>
    <w:rPr>
      <w:szCs w:val="20"/>
    </w:rPr>
  </w:style>
  <w:style w:type="paragraph" w:styleId="Kommentarthema">
    <w:name w:val="annotation subject"/>
    <w:basedOn w:val="Kommentartext"/>
    <w:next w:val="Kommentartext"/>
    <w:semiHidden/>
    <w:rsid w:val="00EF6275"/>
    <w:rPr>
      <w:b/>
      <w:bCs/>
    </w:rPr>
  </w:style>
  <w:style w:type="table" w:styleId="Tabellenraster">
    <w:name w:val="Table Grid"/>
    <w:basedOn w:val="NormaleTabelle"/>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E663CF"/>
    <w:pPr>
      <w:spacing w:before="100" w:beforeAutospacing="1" w:after="100" w:afterAutospacing="1"/>
    </w:pPr>
    <w:rPr>
      <w:rFonts w:ascii="Times New Roman" w:hAnsi="Times New Roman"/>
      <w:sz w:val="24"/>
      <w:lang w:val="en-US"/>
    </w:rPr>
  </w:style>
  <w:style w:type="character" w:styleId="Hervorhebung">
    <w:name w:val="Emphasis"/>
    <w:qFormat/>
    <w:rsid w:val="00F30150"/>
    <w:rPr>
      <w:i/>
      <w:iCs/>
    </w:rPr>
  </w:style>
  <w:style w:type="character" w:styleId="Funotenzeichen">
    <w:name w:val="footnote reference"/>
    <w:aliases w:val="ftref,4_G,16 Point,Superscript 6 Point,Footnotes refss,fr,ftref Char Car Char,ftref Char Char Char Char Char Car Char,ftref Char Char Char Char Char Char Char Char Char Car Car Char Char,ftref Char Char,Fußnotenzeichen_Raxen,F,FR,Ref"/>
    <w:link w:val="BVIfnrCarCar"/>
    <w:uiPriority w:val="99"/>
    <w:qFormat/>
    <w:rsid w:val="00BF50E7"/>
    <w:rPr>
      <w:rFonts w:ascii="Arial" w:hAnsi="Arial"/>
      <w:sz w:val="18"/>
      <w:vertAlign w:val="superscript"/>
    </w:rPr>
  </w:style>
  <w:style w:type="paragraph" w:customStyle="1" w:styleId="Char">
    <w:name w:val="Char"/>
    <w:basedOn w:val="berschrift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aliases w:val="List Paragraph (numbered (a)),References,WB List Paragraph"/>
    <w:basedOn w:val="Standard"/>
    <w:link w:val="ColorfulList-Accent1Char"/>
    <w:uiPriority w:val="34"/>
    <w:qFormat/>
    <w:rsid w:val="00DB520F"/>
    <w:pPr>
      <w:spacing w:after="0"/>
      <w:ind w:left="720"/>
    </w:pPr>
    <w:rPr>
      <w:rFonts w:ascii="Times New Roman" w:hAnsi="Times New Roman"/>
      <w:sz w:val="24"/>
      <w:lang w:val="en-US"/>
    </w:rPr>
  </w:style>
  <w:style w:type="paragraph" w:styleId="Titel">
    <w:name w:val="Title"/>
    <w:basedOn w:val="Standard"/>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Standard"/>
    <w:rsid w:val="00340E23"/>
    <w:pPr>
      <w:spacing w:after="160" w:line="240" w:lineRule="exac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KommentartextZchn">
    <w:name w:val="Kommentartext Zchn"/>
    <w:link w:val="Kommentartext"/>
    <w:semiHidden/>
    <w:rsid w:val="00104FDC"/>
    <w:rPr>
      <w:rFonts w:ascii="Arial" w:hAnsi="Arial"/>
      <w:sz w:val="22"/>
      <w:lang w:val="en-GB"/>
    </w:rPr>
  </w:style>
  <w:style w:type="character" w:customStyle="1" w:styleId="KopfzeileZchn">
    <w:name w:val="Kopfzeile Zchn"/>
    <w:link w:val="Kopfzeile"/>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uzeileZchn">
    <w:name w:val="Fußzeile Zchn"/>
    <w:link w:val="Fuzeile"/>
    <w:uiPriority w:val="99"/>
    <w:rsid w:val="008D1171"/>
    <w:rPr>
      <w:rFonts w:ascii="Arial" w:hAnsi="Arial"/>
      <w:sz w:val="22"/>
      <w:szCs w:val="24"/>
      <w:lang w:val="en-GB"/>
    </w:rPr>
  </w:style>
  <w:style w:type="paragraph" w:styleId="Listenabsatz">
    <w:name w:val="List Paragraph"/>
    <w:aliases w:val="Lapis Bulleted List,WB Para,Dot pt,F5 List Paragraph,List Paragraph1,No Spacing1,List Paragraph Char Char Char,Indicator Text,Numbered Para 1,Bullet 1,List Paragraph12,Bullet Points,MAIN CONTENT"/>
    <w:basedOn w:val="Standard"/>
    <w:link w:val="ListenabsatzZchn"/>
    <w:uiPriority w:val="34"/>
    <w:qFormat/>
    <w:rsid w:val="00C9328A"/>
    <w:pPr>
      <w:ind w:left="720"/>
    </w:pPr>
  </w:style>
  <w:style w:type="character" w:customStyle="1" w:styleId="FunotentextZchn">
    <w:name w:val="Fußnotentext Zchn"/>
    <w:aliases w:val="Texto nota pie Car Zchn,FA Fu Zchn,Footnote Text Char Char Char Char Char Zchn,Footnote Text Char Char Char Char Zchn,Footnote reference Zchn,Footnote Text Char Char Char Zchn,texto de nota al pie Zchn,ft Zchn,single space Zchn,fn Zchn"/>
    <w:link w:val="Funotentext"/>
    <w:rsid w:val="005E763F"/>
    <w:rPr>
      <w:rFonts w:ascii="Courier" w:hAnsi="Courier"/>
      <w:sz w:val="22"/>
    </w:rPr>
  </w:style>
  <w:style w:type="paragraph" w:styleId="NurText">
    <w:name w:val="Plain Text"/>
    <w:basedOn w:val="Standard"/>
    <w:link w:val="NurTextZchn"/>
    <w:uiPriority w:val="99"/>
    <w:rsid w:val="005E763F"/>
    <w:pPr>
      <w:spacing w:after="0"/>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NurTextZchn">
    <w:name w:val="Nur Text Zchn"/>
    <w:link w:val="Nur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paragraph" w:customStyle="1" w:styleId="BVIfnrCarCar">
    <w:name w:val="BVI fnr Car Car"/>
    <w:aliases w:val="BVI fnr Car,BVI fnr Car Car Car Car"/>
    <w:basedOn w:val="Standard"/>
    <w:link w:val="Funotenzeichen"/>
    <w:rsid w:val="00C242D7"/>
    <w:pPr>
      <w:spacing w:before="120" w:after="160" w:line="240" w:lineRule="exact"/>
    </w:pPr>
    <w:rPr>
      <w:sz w:val="18"/>
      <w:szCs w:val="20"/>
      <w:vertAlign w:val="superscript"/>
      <w:lang w:val="en-US"/>
    </w:rPr>
  </w:style>
  <w:style w:type="character" w:customStyle="1" w:styleId="highlight">
    <w:name w:val="highlight"/>
    <w:basedOn w:val="Absatz-Standardschriftart"/>
    <w:rsid w:val="00165343"/>
  </w:style>
  <w:style w:type="character" w:styleId="Fett">
    <w:name w:val="Strong"/>
    <w:basedOn w:val="Absatz-Standardschriftart"/>
    <w:uiPriority w:val="22"/>
    <w:qFormat/>
    <w:rsid w:val="00F34CFA"/>
    <w:rPr>
      <w:b/>
      <w:bCs/>
    </w:rPr>
  </w:style>
  <w:style w:type="character" w:customStyle="1" w:styleId="UnresolvedMention1">
    <w:name w:val="Unresolved Mention1"/>
    <w:basedOn w:val="Absatz-Standardschriftart"/>
    <w:uiPriority w:val="99"/>
    <w:semiHidden/>
    <w:unhideWhenUsed/>
    <w:rsid w:val="00E17333"/>
    <w:rPr>
      <w:color w:val="808080"/>
      <w:shd w:val="clear" w:color="auto" w:fill="E6E6E6"/>
    </w:rPr>
  </w:style>
  <w:style w:type="character" w:customStyle="1" w:styleId="ColorfulList-Accent1Char">
    <w:name w:val="Colorful List - Accent 1 Char"/>
    <w:aliases w:val="List Paragraph (numbered (a)) Char,References Char,WB List Paragraph Char,List Paragraph Char"/>
    <w:link w:val="ColorfulList-Accent11"/>
    <w:uiPriority w:val="34"/>
    <w:rsid w:val="008C3B1E"/>
    <w:rPr>
      <w:sz w:val="24"/>
      <w:szCs w:val="24"/>
    </w:rPr>
  </w:style>
  <w:style w:type="character" w:customStyle="1" w:styleId="ListenabsatzZchn">
    <w:name w:val="Listenabsatz Zchn"/>
    <w:aliases w:val="Lapis Bulleted List Zchn,List Paragraph (numbered (a)) Zchn,WB Para Zchn,Dot pt Zchn,F5 List Paragraph Zchn,List Paragraph1 Zchn,No Spacing1 Zchn,List Paragraph Char Char Char Zchn,Indicator Text Zchn,Numbered Para 1 Zchn,Bullet 1 Zchn"/>
    <w:basedOn w:val="Absatz-Standardschriftart"/>
    <w:link w:val="Listenabsatz"/>
    <w:uiPriority w:val="34"/>
    <w:locked/>
    <w:rsid w:val="006D4C53"/>
    <w:rPr>
      <w:rFonts w:ascii="Arial" w:hAnsi="Arial"/>
      <w:sz w:val="22"/>
      <w:szCs w:val="24"/>
      <w:lang w:val="en-GB"/>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Standard"/>
    <w:uiPriority w:val="99"/>
    <w:rsid w:val="00E707C4"/>
    <w:pPr>
      <w:spacing w:after="160" w:line="240" w:lineRule="exact"/>
    </w:pPr>
    <w:rPr>
      <w:rFonts w:ascii="Times New Roman" w:hAnsi="Times New Roman"/>
      <w:sz w:val="20"/>
      <w:szCs w:val="20"/>
      <w:vertAlign w:val="superscript"/>
      <w:lang w:eastAsia="en-GB"/>
    </w:rPr>
  </w:style>
  <w:style w:type="character" w:customStyle="1" w:styleId="apple-converted-space">
    <w:name w:val="apple-converted-space"/>
    <w:basedOn w:val="Absatz-Standardschriftart"/>
    <w:rsid w:val="0062045E"/>
  </w:style>
  <w:style w:type="character" w:customStyle="1" w:styleId="TextkrperZchn">
    <w:name w:val="Textkörper Zchn"/>
    <w:basedOn w:val="Absatz-Standardschriftart"/>
    <w:link w:val="Textkrper"/>
    <w:rsid w:val="009051E6"/>
    <w:rPr>
      <w:rFonts w:ascii="Arial Narrow" w:hAnsi="Arial Narrow"/>
      <w:i/>
      <w:iCs/>
      <w:sz w:val="22"/>
      <w:szCs w:val="24"/>
      <w:lang w:val="en-GB"/>
    </w:rPr>
  </w:style>
  <w:style w:type="character" w:customStyle="1" w:styleId="Textkrper-ZeileneinzugZchn">
    <w:name w:val="Textkörper-Zeileneinzug Zchn"/>
    <w:basedOn w:val="Absatz-Standardschriftart"/>
    <w:link w:val="Textkrper-Zeileneinzug"/>
    <w:rsid w:val="009051E6"/>
    <w:rPr>
      <w:rFonts w:ascii="Arial" w:hAnsi="Arial"/>
      <w:b/>
      <w:i/>
      <w:sz w:val="28"/>
    </w:rPr>
  </w:style>
  <w:style w:type="character" w:customStyle="1" w:styleId="berschrift7Zchn">
    <w:name w:val="Überschrift 7 Zchn"/>
    <w:basedOn w:val="Absatz-Standardschriftart"/>
    <w:link w:val="berschrift7"/>
    <w:rsid w:val="00891E80"/>
    <w:rPr>
      <w:rFonts w:asciiTheme="majorHAnsi" w:eastAsiaTheme="majorEastAsia" w:hAnsiTheme="majorHAnsi" w:cstheme="majorBidi"/>
      <w:i/>
      <w:iCs/>
      <w:color w:val="404040" w:themeColor="text1" w:themeTint="BF"/>
      <w:sz w:val="22"/>
      <w:szCs w:val="24"/>
      <w:lang w:val="en-GB"/>
    </w:rPr>
  </w:style>
  <w:style w:type="character" w:customStyle="1" w:styleId="berschrift8Zchn">
    <w:name w:val="Überschrift 8 Zchn"/>
    <w:basedOn w:val="Absatz-Standardschriftart"/>
    <w:link w:val="berschrift8"/>
    <w:rsid w:val="0086271C"/>
    <w:rPr>
      <w:rFonts w:asciiTheme="majorHAnsi" w:eastAsiaTheme="majorEastAsia" w:hAnsiTheme="majorHAnsi" w:cstheme="majorBidi"/>
      <w:color w:val="404040" w:themeColor="text1" w:themeTint="BF"/>
      <w:lang w:val="en-GB"/>
    </w:rPr>
  </w:style>
  <w:style w:type="paragraph" w:styleId="Index8">
    <w:name w:val="index 8"/>
    <w:basedOn w:val="Standard"/>
    <w:next w:val="Standard"/>
    <w:autoRedefine/>
    <w:rsid w:val="0086271C"/>
    <w:pPr>
      <w:spacing w:after="0"/>
      <w:ind w:left="1760" w:hanging="220"/>
    </w:pPr>
  </w:style>
  <w:style w:type="paragraph" w:styleId="Verzeichnis1">
    <w:name w:val="toc 1"/>
    <w:basedOn w:val="Standard"/>
    <w:next w:val="Standard"/>
    <w:autoRedefine/>
    <w:uiPriority w:val="39"/>
    <w:rsid w:val="00626E83"/>
    <w:pPr>
      <w:tabs>
        <w:tab w:val="left" w:pos="362"/>
        <w:tab w:val="left" w:pos="567"/>
        <w:tab w:val="right" w:leader="dot" w:pos="9592"/>
      </w:tabs>
    </w:pPr>
  </w:style>
  <w:style w:type="paragraph" w:styleId="Verzeichnis2">
    <w:name w:val="toc 2"/>
    <w:basedOn w:val="Standard"/>
    <w:next w:val="Standard"/>
    <w:autoRedefine/>
    <w:uiPriority w:val="39"/>
    <w:rsid w:val="00C97E3C"/>
    <w:pPr>
      <w:tabs>
        <w:tab w:val="right" w:leader="dot" w:pos="9592"/>
      </w:tabs>
      <w:spacing w:before="60" w:line="276" w:lineRule="auto"/>
      <w:ind w:left="567"/>
    </w:pPr>
  </w:style>
  <w:style w:type="paragraph" w:styleId="Verzeichnis3">
    <w:name w:val="toc 3"/>
    <w:basedOn w:val="Standard"/>
    <w:next w:val="Standard"/>
    <w:autoRedefine/>
    <w:uiPriority w:val="39"/>
    <w:rsid w:val="00222B6F"/>
    <w:pPr>
      <w:tabs>
        <w:tab w:val="right" w:leader="dot" w:pos="9592"/>
      </w:tabs>
      <w:ind w:left="1134"/>
    </w:pPr>
  </w:style>
  <w:style w:type="paragraph" w:styleId="Verzeichnis4">
    <w:name w:val="toc 4"/>
    <w:basedOn w:val="Standard"/>
    <w:next w:val="Standard"/>
    <w:autoRedefine/>
    <w:rsid w:val="00651875"/>
    <w:pPr>
      <w:ind w:left="660"/>
    </w:pPr>
  </w:style>
  <w:style w:type="paragraph" w:styleId="Verzeichnis5">
    <w:name w:val="toc 5"/>
    <w:basedOn w:val="Standard"/>
    <w:next w:val="Standard"/>
    <w:autoRedefine/>
    <w:rsid w:val="00651875"/>
    <w:pPr>
      <w:ind w:left="880"/>
    </w:pPr>
  </w:style>
  <w:style w:type="paragraph" w:styleId="Verzeichnis6">
    <w:name w:val="toc 6"/>
    <w:basedOn w:val="Standard"/>
    <w:next w:val="Standard"/>
    <w:autoRedefine/>
    <w:rsid w:val="00651875"/>
    <w:pPr>
      <w:ind w:left="1100"/>
    </w:pPr>
  </w:style>
  <w:style w:type="paragraph" w:styleId="Verzeichnis7">
    <w:name w:val="toc 7"/>
    <w:basedOn w:val="Standard"/>
    <w:next w:val="Standard"/>
    <w:autoRedefine/>
    <w:rsid w:val="00651875"/>
    <w:pPr>
      <w:ind w:left="1320"/>
    </w:pPr>
  </w:style>
  <w:style w:type="paragraph" w:styleId="Verzeichnis8">
    <w:name w:val="toc 8"/>
    <w:basedOn w:val="Standard"/>
    <w:next w:val="Standard"/>
    <w:autoRedefine/>
    <w:rsid w:val="00651875"/>
    <w:pPr>
      <w:ind w:left="1540"/>
    </w:pPr>
  </w:style>
  <w:style w:type="paragraph" w:styleId="Verzeichnis9">
    <w:name w:val="toc 9"/>
    <w:basedOn w:val="Standard"/>
    <w:next w:val="Standard"/>
    <w:autoRedefine/>
    <w:rsid w:val="00651875"/>
    <w:pPr>
      <w:ind w:left="1760"/>
    </w:pPr>
  </w:style>
  <w:style w:type="paragraph" w:customStyle="1" w:styleId="Char2">
    <w:name w:val="Char2"/>
    <w:basedOn w:val="Standard"/>
    <w:uiPriority w:val="99"/>
    <w:rsid w:val="003E1595"/>
    <w:pPr>
      <w:spacing w:after="160" w:line="240" w:lineRule="exact"/>
    </w:pPr>
    <w:rPr>
      <w:rFonts w:eastAsia="MS Mincho"/>
      <w:sz w:val="18"/>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4050">
      <w:bodyDiv w:val="1"/>
      <w:marLeft w:val="0"/>
      <w:marRight w:val="0"/>
      <w:marTop w:val="0"/>
      <w:marBottom w:val="0"/>
      <w:divBdr>
        <w:top w:val="none" w:sz="0" w:space="0" w:color="auto"/>
        <w:left w:val="none" w:sz="0" w:space="0" w:color="auto"/>
        <w:bottom w:val="none" w:sz="0" w:space="0" w:color="auto"/>
        <w:right w:val="none" w:sz="0" w:space="0" w:color="auto"/>
      </w:divBdr>
    </w:div>
    <w:div w:id="39832805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98927227">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57606851">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9540005">
      <w:bodyDiv w:val="1"/>
      <w:marLeft w:val="0"/>
      <w:marRight w:val="0"/>
      <w:marTop w:val="0"/>
      <w:marBottom w:val="0"/>
      <w:divBdr>
        <w:top w:val="none" w:sz="0" w:space="0" w:color="auto"/>
        <w:left w:val="none" w:sz="0" w:space="0" w:color="auto"/>
        <w:bottom w:val="none" w:sz="0" w:space="0" w:color="auto"/>
        <w:right w:val="none" w:sz="0" w:space="0" w:color="auto"/>
      </w:divBdr>
      <w:divsChild>
        <w:div w:id="890264675">
          <w:marLeft w:val="0"/>
          <w:marRight w:val="0"/>
          <w:marTop w:val="0"/>
          <w:marBottom w:val="0"/>
          <w:divBdr>
            <w:top w:val="none" w:sz="0" w:space="0" w:color="auto"/>
            <w:left w:val="none" w:sz="0" w:space="0" w:color="auto"/>
            <w:bottom w:val="none" w:sz="0" w:space="0" w:color="auto"/>
            <w:right w:val="none" w:sz="0" w:space="0" w:color="auto"/>
          </w:divBdr>
          <w:divsChild>
            <w:div w:id="380835246">
              <w:marLeft w:val="0"/>
              <w:marRight w:val="0"/>
              <w:marTop w:val="0"/>
              <w:marBottom w:val="0"/>
              <w:divBdr>
                <w:top w:val="none" w:sz="0" w:space="0" w:color="auto"/>
                <w:left w:val="none" w:sz="0" w:space="0" w:color="auto"/>
                <w:bottom w:val="none" w:sz="0" w:space="0" w:color="auto"/>
                <w:right w:val="none" w:sz="0" w:space="0" w:color="auto"/>
              </w:divBdr>
              <w:divsChild>
                <w:div w:id="6913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20269831">
      <w:bodyDiv w:val="1"/>
      <w:marLeft w:val="0"/>
      <w:marRight w:val="0"/>
      <w:marTop w:val="0"/>
      <w:marBottom w:val="0"/>
      <w:divBdr>
        <w:top w:val="none" w:sz="0" w:space="0" w:color="auto"/>
        <w:left w:val="none" w:sz="0" w:space="0" w:color="auto"/>
        <w:bottom w:val="none" w:sz="0" w:space="0" w:color="auto"/>
        <w:right w:val="none" w:sz="0" w:space="0" w:color="auto"/>
      </w:divBdr>
      <w:divsChild>
        <w:div w:id="878859606">
          <w:marLeft w:val="0"/>
          <w:marRight w:val="0"/>
          <w:marTop w:val="0"/>
          <w:marBottom w:val="0"/>
          <w:divBdr>
            <w:top w:val="none" w:sz="0" w:space="0" w:color="auto"/>
            <w:left w:val="none" w:sz="0" w:space="0" w:color="auto"/>
            <w:bottom w:val="none" w:sz="0" w:space="0" w:color="auto"/>
            <w:right w:val="none" w:sz="0" w:space="0" w:color="auto"/>
          </w:divBdr>
          <w:divsChild>
            <w:div w:id="618729731">
              <w:marLeft w:val="0"/>
              <w:marRight w:val="0"/>
              <w:marTop w:val="0"/>
              <w:marBottom w:val="0"/>
              <w:divBdr>
                <w:top w:val="none" w:sz="0" w:space="0" w:color="auto"/>
                <w:left w:val="none" w:sz="0" w:space="0" w:color="auto"/>
                <w:bottom w:val="none" w:sz="0" w:space="0" w:color="auto"/>
                <w:right w:val="none" w:sz="0" w:space="0" w:color="auto"/>
              </w:divBdr>
              <w:divsChild>
                <w:div w:id="6005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81035176">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ardd-jo.org/sites/default/files/resource-files/en_the_role_of_civil_society_in_jordan.pdf" TargetMode="External"/><Relationship Id="rId1" Type="http://schemas.openxmlformats.org/officeDocument/2006/relationships/hyperlink" Target="https://www.researchgate.net/publication/302582734_The_Role_of_Civil_Society_Organizations_in_the_Political_Reform_Process_in_Jord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1110</Value>
      <Value>1150</Value>
      <Value>1</Value>
      <Value>763</Value>
    </TaxCatchAll>
    <_dlc_DocId xmlns="f1161f5b-24a3-4c2d-bc81-44cb9325e8ee">ATLASPDC-4-91968</_dlc_DocId>
    <_dlc_DocIdUrl xmlns="f1161f5b-24a3-4c2d-bc81-44cb9325e8ee">
      <Url>https://info.undp.org/docs/pdc/_layouts/DocIdRedir.aspx?ID=ATLASPDC-4-91968</Url>
      <Description>ATLASPDC-4-91968</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JOR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00115191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Document_x0020_Coverage_x0020_Period_x0020_Start_x0020_Date xmlns="f1161f5b-24a3-4c2d-bc81-44cb9325e8ee" xsi:nil="true"/>
    <Document_x0020_Coverage_x0020_Period_x0020_End_x0020_Date xmlns="f1161f5b-24a3-4c2d-bc81-44cb9325e8ee">2019-09-30T04:00:00+00:00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7EC1-5CAF-4EEC-9BC7-A62F97DC0AAF}">
  <ds:schemaRefs>
    <ds:schemaRef ds:uri="http://schemas.microsoft.com/sharepoint/v3/contenttype/forms"/>
  </ds:schemaRefs>
</ds:datastoreItem>
</file>

<file path=customXml/itemProps2.xml><?xml version="1.0" encoding="utf-8"?>
<ds:datastoreItem xmlns:ds="http://schemas.openxmlformats.org/officeDocument/2006/customXml" ds:itemID="{09660305-9854-4FF1-9831-93ABB37D41F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F1F7C04-7EEB-4CD2-9A66-B3367AF70D5E}"/>
</file>

<file path=customXml/itemProps4.xml><?xml version="1.0" encoding="utf-8"?>
<ds:datastoreItem xmlns:ds="http://schemas.openxmlformats.org/officeDocument/2006/customXml" ds:itemID="{8ACCB572-E809-4519-A68A-709F4598242D}"/>
</file>

<file path=customXml/itemProps5.xml><?xml version="1.0" encoding="utf-8"?>
<ds:datastoreItem xmlns:ds="http://schemas.openxmlformats.org/officeDocument/2006/customXml" ds:itemID="{03D2C729-96F8-403B-8315-63515568329F}">
  <ds:schemaRefs>
    <ds:schemaRef ds:uri="http://schemas.microsoft.com/sharepoint/events"/>
  </ds:schemaRefs>
</ds:datastoreItem>
</file>

<file path=customXml/itemProps6.xml><?xml version="1.0" encoding="utf-8"?>
<ds:datastoreItem xmlns:ds="http://schemas.openxmlformats.org/officeDocument/2006/customXml" ds:itemID="{3D4EC759-FB1F-4747-8C67-8ADA973BAFD4}">
  <ds:schemaRefs>
    <ds:schemaRef ds:uri="http://schemas.microsoft.com/office/2006/metadata/longProperties"/>
  </ds:schemaRefs>
</ds:datastoreItem>
</file>

<file path=customXml/itemProps7.xml><?xml version="1.0" encoding="utf-8"?>
<ds:datastoreItem xmlns:ds="http://schemas.openxmlformats.org/officeDocument/2006/customXml" ds:itemID="{D37437B7-90AB-45D1-9CD1-4BCD7D99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3549</Words>
  <Characters>20232</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23734</CharactersWithSpaces>
  <SharedDoc>false</SharedDoc>
  <HLinks>
    <vt:vector size="66" baseType="variant">
      <vt:variant>
        <vt:i4>393216</vt:i4>
      </vt:variant>
      <vt:variant>
        <vt:i4>30</vt:i4>
      </vt:variant>
      <vt:variant>
        <vt:i4>0</vt:i4>
      </vt:variant>
      <vt:variant>
        <vt:i4>5</vt:i4>
      </vt:variant>
      <vt:variant>
        <vt:lpwstr>https://intranet.undp.org/global/documents/ppm/FINAL Risk Log Deliverable Description.doc</vt:lpwstr>
      </vt:variant>
      <vt:variant>
        <vt:lpwstr/>
      </vt:variant>
      <vt:variant>
        <vt:i4>6357058</vt:i4>
      </vt:variant>
      <vt:variant>
        <vt:i4>27</vt:i4>
      </vt:variant>
      <vt:variant>
        <vt:i4>0</vt:i4>
      </vt:variant>
      <vt:variant>
        <vt:i4>5</vt:i4>
      </vt:variant>
      <vt:variant>
        <vt:lpwstr>https://intranet.undp.org/global/documents/ppm/FINAL_Risk_Log_Template.doc</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Simon Woell</cp:lastModifiedBy>
  <cp:revision>6</cp:revision>
  <cp:lastPrinted>2018-02-27T09:56:00Z</cp:lastPrinted>
  <dcterms:created xsi:type="dcterms:W3CDTF">2018-11-26T15:16:00Z</dcterms:created>
  <dcterms:modified xsi:type="dcterms:W3CDTF">2018-11-27T10:19:00Z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2ffa4522-3abf-4438-8e5f-7a2e336f525d</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OPPBusinessProcess">
    <vt:lpwstr/>
  </property>
  <property fmtid="{D5CDD505-2E9C-101B-9397-08002B2CF9AE}" pid="31" name="UNDP_POPP_BUSINESSUNIT">
    <vt:lpwstr>2;#Programme and Project Management|dea4c69a-7909-43f6-8de1-50c95d5a9f3f</vt:lpwstr>
  </property>
  <property fmtid="{D5CDD505-2E9C-101B-9397-08002B2CF9AE}" pid="32" name="UNDPCountry">
    <vt:lpwstr/>
  </property>
  <property fmtid="{D5CDD505-2E9C-101B-9397-08002B2CF9AE}" pid="33" name="UN Languages">
    <vt:lpwstr>1;#English|7f98b732-4b5b-4b70-ba90-a0eff09b5d2d</vt:lpwstr>
  </property>
  <property fmtid="{D5CDD505-2E9C-101B-9397-08002B2CF9AE}" pid="34" name="Operating Unit0">
    <vt:lpwstr>1150;#JOR|cb0ad2f2-dea1-449d-885d-dcda0578bd7c</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